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617"/>
        <w:gridCol w:w="6954"/>
        <w:tblGridChange w:id="0">
          <w:tblGrid>
            <w:gridCol w:w="2617"/>
            <w:gridCol w:w="6954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القواعد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الفقهية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437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3znysh7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tl w:val="0"/>
              </w:rPr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tl w:val="0"/>
              </w:rPr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tl w:val="0"/>
              </w:rPr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tl w:val="0"/>
              </w:rPr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1ksv4uv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4i7ojhp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57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42"/>
        <w:gridCol w:w="681"/>
        <w:gridCol w:w="846"/>
        <w:gridCol w:w="48"/>
        <w:gridCol w:w="174"/>
        <w:gridCol w:w="140"/>
        <w:gridCol w:w="455"/>
        <w:gridCol w:w="485"/>
        <w:gridCol w:w="415"/>
        <w:gridCol w:w="665"/>
        <w:gridCol w:w="246"/>
        <w:gridCol w:w="177"/>
        <w:gridCol w:w="410"/>
        <w:gridCol w:w="415"/>
        <w:gridCol w:w="1961"/>
        <w:gridCol w:w="246"/>
        <w:gridCol w:w="1765"/>
        <w:tblGridChange w:id="0">
          <w:tblGrid>
            <w:gridCol w:w="442"/>
            <w:gridCol w:w="681"/>
            <w:gridCol w:w="846"/>
            <w:gridCol w:w="48"/>
            <w:gridCol w:w="174"/>
            <w:gridCol w:w="140"/>
            <w:gridCol w:w="455"/>
            <w:gridCol w:w="485"/>
            <w:gridCol w:w="415"/>
            <w:gridCol w:w="665"/>
            <w:gridCol w:w="246"/>
            <w:gridCol w:w="177"/>
            <w:gridCol w:w="410"/>
            <w:gridCol w:w="415"/>
            <w:gridCol w:w="1961"/>
            <w:gridCol w:w="246"/>
            <w:gridCol w:w="176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٣ </w:t>
            </w: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الرابعة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9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Law 172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يوجد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٤٠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٨٩٪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٥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١١٪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٤٥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٤٥</w:t>
            </w:r>
          </w:p>
        </w:tc>
      </w:tr>
    </w:tbl>
    <w:p w:rsidR="00000000" w:rsidDel="00000000" w:rsidP="00000000" w:rsidRDefault="00000000" w:rsidRPr="00000000" w14:paraId="000000F2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1"/>
        <w:bidi w:val="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pStyle w:val="Heading2"/>
              <w:bidi w:val="1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المتقدم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بتغطية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العديد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الموضوعات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المفيد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كالتعريف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الأصولية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ومراحل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تدوين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والمؤلفات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وأقسامها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الكبرى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الصغرى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الكبرى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والصغرى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تطبيقها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وتمكين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الإلمام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الاستدلال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المختلفة</w:t>
            </w:r>
            <w:r w:rsidDel="00000000" w:rsidR="00000000" w:rsidRPr="00000000">
              <w:rPr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F9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pStyle w:val="Heading2"/>
        <w:bidi w:val="1"/>
        <w:rPr/>
      </w:pPr>
      <w:bookmarkStart w:colFirst="0" w:colLast="0" w:name="_heading=h.hovfbqkekhz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2"/>
        <w:bidi w:val="1"/>
        <w:rPr/>
      </w:pPr>
      <w:bookmarkStart w:colFirst="0" w:colLast="0" w:name="_heading=h.cmg7ivmgsraa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مفهوم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ومصطلحاتها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١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٢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0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والفرعية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٣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٤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رئيسي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للتشريع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والتقاضي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للمواطنين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والمقيمين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الناحيتين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الأخلاقية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والقيمية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٧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إظهار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تقنيات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لأداء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وتوثيق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1"/>
        <w:bidi w:val="1"/>
        <w:rPr/>
      </w:pPr>
      <w:bookmarkStart w:colFirst="0" w:colLast="0" w:name="_heading=h.1t3h5sf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مفهوم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القواعد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وضوابطها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والفرق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بينها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وبين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العلوم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ذات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الصلة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القواعد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الأصولية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الضوابط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النظريات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فيها</w:t>
            </w:r>
            <w:r w:rsidDel="00000000" w:rsidR="00000000" w:rsidRPr="00000000">
              <w:rPr>
                <w:rtl w:val="1"/>
              </w:rPr>
              <w:t xml:space="preserve"> –</w:t>
            </w:r>
            <w:r w:rsidDel="00000000" w:rsidR="00000000" w:rsidRPr="00000000">
              <w:rPr>
                <w:rtl w:val="1"/>
              </w:rPr>
              <w:t xml:space="preserve">أقسامها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spacing w:line="276" w:lineRule="auto"/>
              <w:rPr/>
            </w:pPr>
            <w:r w:rsidDel="00000000" w:rsidR="00000000" w:rsidRPr="00000000">
              <w:rPr>
                <w:u w:val="single"/>
                <w:rtl w:val="1"/>
              </w:rPr>
              <w:t xml:space="preserve">القواعد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الكلية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لكبرى</w:t>
            </w:r>
            <w:r w:rsidDel="00000000" w:rsidR="00000000" w:rsidRPr="00000000">
              <w:rPr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الأمور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بمقاصدها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وفروعها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اليقين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يزول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بالشك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وفروعها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وفروعها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"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ضرار</w:t>
            </w:r>
            <w:r w:rsidDel="00000000" w:rsidR="00000000" w:rsidRPr="00000000">
              <w:rPr>
                <w:rtl w:val="1"/>
              </w:rPr>
              <w:t xml:space="preserve">"  </w:t>
            </w:r>
            <w:r w:rsidDel="00000000" w:rsidR="00000000" w:rsidRPr="00000000">
              <w:rPr>
                <w:rtl w:val="1"/>
              </w:rPr>
              <w:t xml:space="preserve">وفروعها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"</w:t>
            </w:r>
            <w:r w:rsidDel="00000000" w:rsidR="00000000" w:rsidRPr="00000000">
              <w:rPr>
                <w:rtl w:val="1"/>
              </w:rPr>
              <w:t xml:space="preserve">العادة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محك</w:t>
            </w:r>
            <w:r w:rsidDel="00000000" w:rsidR="00000000" w:rsidRPr="00000000">
              <w:rPr>
                <w:rtl w:val="1"/>
              </w:rPr>
              <w:t xml:space="preserve">ّ</w:t>
            </w:r>
            <w:r w:rsidDel="00000000" w:rsidR="00000000" w:rsidRPr="00000000">
              <w:rPr>
                <w:rtl w:val="1"/>
              </w:rPr>
              <w:t xml:space="preserve">مة</w:t>
            </w:r>
            <w:r w:rsidDel="00000000" w:rsidR="00000000" w:rsidRPr="00000000">
              <w:rPr>
                <w:rtl w:val="1"/>
              </w:rPr>
              <w:t xml:space="preserve">" </w:t>
            </w:r>
            <w:r w:rsidDel="00000000" w:rsidR="00000000" w:rsidRPr="00000000">
              <w:rPr>
                <w:rtl w:val="1"/>
              </w:rPr>
              <w:t xml:space="preserve">وفروعها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وتطبيقاتها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spacing w:line="276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1"/>
              </w:rPr>
              <w:t xml:space="preserve">القواعد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الكلية</w:t>
            </w:r>
            <w:r w:rsidDel="00000000" w:rsidR="00000000" w:rsidRPr="00000000">
              <w:rPr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u w:val="single"/>
                <w:rtl w:val="1"/>
              </w:rPr>
              <w:t xml:space="preserve">الصغرى</w:t>
            </w:r>
            <w:r w:rsidDel="00000000" w:rsidR="00000000" w:rsidRPr="00000000">
              <w:rPr>
                <w:u w:val="single"/>
                <w:rtl w:val="1"/>
              </w:rPr>
              <w:t xml:space="preserve">:-</w:t>
            </w:r>
          </w:p>
          <w:p w:rsidR="00000000" w:rsidDel="00000000" w:rsidP="00000000" w:rsidRDefault="00000000" w:rsidRPr="00000000" w14:paraId="0000014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بالألفاظ</w:t>
            </w:r>
            <w:r w:rsidDel="00000000" w:rsidR="00000000" w:rsidRPr="00000000">
              <w:rPr>
                <w:rtl w:val="1"/>
              </w:rPr>
              <w:t xml:space="preserve"> : </w:t>
            </w:r>
            <w:r w:rsidDel="00000000" w:rsidR="00000000" w:rsidRPr="00000000">
              <w:rPr>
                <w:rtl w:val="1"/>
              </w:rPr>
              <w:t xml:space="preserve">إعمال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إهماله</w:t>
            </w:r>
            <w:r w:rsidDel="00000000" w:rsidR="00000000" w:rsidRPr="00000000">
              <w:rPr>
                <w:rtl w:val="1"/>
              </w:rPr>
              <w:t xml:space="preserve"> –– </w:t>
            </w:r>
            <w:r w:rsidDel="00000000" w:rsidR="00000000" w:rsidRPr="00000000">
              <w:rPr>
                <w:rtl w:val="1"/>
              </w:rPr>
              <w:t xml:space="preserve">السؤال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الجواب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spacing w:line="276" w:lineRule="auto"/>
              <w:rPr/>
            </w:pP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تتعلق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بالضمان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الخراج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بالضمان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جناية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العجماء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1"/>
              </w:rPr>
              <w:t xml:space="preserve">ُ</w:t>
            </w:r>
            <w:r w:rsidDel="00000000" w:rsidR="00000000" w:rsidRPr="00000000">
              <w:rPr>
                <w:rtl w:val="1"/>
              </w:rPr>
              <w:t xml:space="preserve">بار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تطبيقات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4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Style w:val="Heading1"/>
        <w:bidi w:val="1"/>
        <w:rPr/>
      </w:pPr>
      <w:bookmarkStart w:colFirst="0" w:colLast="0" w:name="_heading=h.4d34og8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Style w:val="Heading1"/>
        <w:bidi w:val="1"/>
        <w:rPr/>
      </w:pPr>
      <w:bookmarkStart w:colFirst="0" w:colLast="0" w:name="_heading=h.jnmr501ozi2c" w:id="10"/>
      <w:bookmarkEnd w:id="10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57">
      <w:pPr>
        <w:pStyle w:val="Heading2"/>
        <w:bidi w:val="1"/>
        <w:rPr/>
      </w:pPr>
      <w:bookmarkStart w:colFirst="0" w:colLast="0" w:name="_heading=h.2s8eyo1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مفهوم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ومصطلحاتها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6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- </w:t>
            </w:r>
            <w:r w:rsidDel="00000000" w:rsidR="00000000" w:rsidRPr="00000000">
              <w:rPr>
                <w:rtl w:val="1"/>
              </w:rPr>
              <w:t xml:space="preserve">التكاليف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يقارن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والفرعية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الأسئلة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الشفهية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7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7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8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كمصدر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رئيسي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للتشريع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والتقاضي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للمواطنين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والمقيمين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الناحيتين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الأخلاقية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والقيمية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المناقشات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إظهار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تقنيات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لأداء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وتوثيق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مستوى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جيد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العروض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التقديمية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8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التطبيقية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التكاليف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pStyle w:val="Heading2"/>
        <w:bidi w:val="1"/>
        <w:rPr/>
      </w:pPr>
      <w:bookmarkStart w:colFirst="0" w:colLast="0" w:name="_heading=h.17dp8vu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Style w:val="Heading2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1002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0"/>
        <w:gridCol w:w="5820"/>
        <w:gridCol w:w="1425"/>
        <w:gridCol w:w="2355"/>
        <w:tblGridChange w:id="0">
          <w:tblGrid>
            <w:gridCol w:w="420"/>
            <w:gridCol w:w="5820"/>
            <w:gridCol w:w="1425"/>
            <w:gridCol w:w="2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9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B4">
      <w:pPr>
        <w:pStyle w:val="Heading1"/>
        <w:bidi w:val="1"/>
        <w:rPr/>
      </w:pPr>
      <w:bookmarkStart w:colFirst="0" w:colLast="0" w:name="_heading=h.3rdcrjn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يقوم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الصاقه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يبين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تواجده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علما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بإمكان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يحضر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لتواجد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يخضعون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لإشراف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ايضا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B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pStyle w:val="Heading1"/>
        <w:bidi w:val="1"/>
        <w:rPr/>
      </w:pPr>
      <w:bookmarkStart w:colFirst="0" w:colLast="0" w:name="_heading=h.26in1rg" w:id="14"/>
      <w:bookmarkEnd w:id="14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B9">
      <w:pPr>
        <w:pStyle w:val="Heading2"/>
        <w:bidi w:val="1"/>
        <w:rPr/>
      </w:pPr>
      <w:bookmarkStart w:colFirst="0" w:colLast="0" w:name="_heading=h.lnxbz9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الممتع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القواعد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للدكتور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مسلم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محمد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ماجد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الدوسري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القواعد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وتطبيقاتها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الفقهية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للدكتور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سالم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المطيري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مجلة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الأحكام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القضائية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الإلكتروني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بالجامعة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مودل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وزارة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5">
      <w:pPr>
        <w:pStyle w:val="Heading2"/>
        <w:bidi w:val="1"/>
        <w:rPr>
          <w:sz w:val="14"/>
          <w:szCs w:val="14"/>
        </w:rPr>
      </w:pPr>
      <w:bookmarkStart w:colFirst="0" w:colLast="0" w:name="_heading=h.ksrgzpijxyn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2"/>
        <w:bidi w:val="1"/>
        <w:rPr/>
      </w:pPr>
      <w:bookmarkStart w:colFirst="0" w:colLast="0" w:name="_heading=h.7lr3jgxnrmxw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المحاضرات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جهاز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العرض</w:t>
            </w:r>
            <w:r w:rsidDel="00000000" w:rsidR="00000000" w:rsidRPr="00000000">
              <w:rPr>
                <w:rtl w:val="1"/>
              </w:rPr>
              <w:t xml:space="preserve"> – </w:t>
            </w:r>
            <w:r w:rsidDel="00000000" w:rsidR="00000000" w:rsidRPr="00000000">
              <w:rPr>
                <w:rtl w:val="1"/>
              </w:rPr>
              <w:t xml:space="preserve">والشاشة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الذكية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4">
      <w:pPr>
        <w:pStyle w:val="Heading1"/>
        <w:bidi w:val="1"/>
        <w:rPr>
          <w:sz w:val="18"/>
          <w:szCs w:val="18"/>
        </w:rPr>
      </w:pPr>
      <w:bookmarkStart w:colFirst="0" w:colLast="0" w:name="_heading=h.44sinio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/>
            </w:pPr>
            <w:bookmarkStart w:colFirst="0" w:colLast="0" w:name="_heading=h.2jxsxqh" w:id="19"/>
            <w:bookmarkEnd w:id="19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both"/>
              <w:rPr/>
            </w:pPr>
            <w:bookmarkStart w:colFirst="0" w:colLast="0" w:name="_heading=h.z337ya" w:id="20"/>
            <w:bookmarkEnd w:id="20"/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منسقة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DB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الحضور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الصفي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D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عضو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هيئة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1DE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المادة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E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تقرير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E3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تحليل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نتائج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5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1E7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مخرجات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التعلم</w:t>
            </w:r>
          </w:p>
          <w:p w:rsidR="00000000" w:rsidDel="00000000" w:rsidP="00000000" w:rsidRDefault="00000000" w:rsidRPr="00000000" w14:paraId="000001E9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إحصائية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الخروج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من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A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1EE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تقرير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0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1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منسقة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3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الحضور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الصفي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5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عضو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هيئة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1F6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المادة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F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تقرير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B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تحليل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نتائج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</w:p>
          <w:p w:rsidR="00000000" w:rsidDel="00000000" w:rsidP="00000000" w:rsidRDefault="00000000" w:rsidRPr="00000000" w14:paraId="000001FC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المادة</w:t>
            </w:r>
          </w:p>
          <w:p w:rsidR="00000000" w:rsidDel="00000000" w:rsidP="00000000" w:rsidRDefault="00000000" w:rsidRPr="00000000" w14:paraId="000001FF">
            <w:pPr>
              <w:bidi w:val="1"/>
              <w:jc w:val="both"/>
              <w:rPr/>
            </w:pP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مخرجات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التعلم</w:t>
            </w:r>
          </w:p>
          <w:p w:rsidR="00000000" w:rsidDel="00000000" w:rsidP="00000000" w:rsidRDefault="00000000" w:rsidRPr="00000000" w14:paraId="00000201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إحصائية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الخروج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من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02">
            <w:pPr>
              <w:bidi w:val="1"/>
              <w:jc w:val="both"/>
              <w:rPr>
                <w:color w:val="366091"/>
              </w:rPr>
            </w:pPr>
            <w:r w:rsidDel="00000000" w:rsidR="00000000" w:rsidRPr="00000000">
              <w:rPr>
                <w:color w:val="366091"/>
                <w:rtl w:val="1"/>
              </w:rPr>
              <w:t xml:space="preserve">تقييم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للمقرر</w:t>
            </w:r>
            <w:r w:rsidDel="00000000" w:rsidR="00000000" w:rsidRPr="00000000">
              <w:rPr>
                <w:color w:val="366091"/>
                <w:rtl w:val="1"/>
              </w:rPr>
              <w:t xml:space="preserve">(</w:t>
            </w:r>
            <w:r w:rsidDel="00000000" w:rsidR="00000000" w:rsidRPr="00000000">
              <w:rPr>
                <w:color w:val="366091"/>
                <w:rtl w:val="1"/>
              </w:rPr>
              <w:t xml:space="preserve">غير</w:t>
            </w:r>
            <w:r w:rsidDel="00000000" w:rsidR="00000000" w:rsidRPr="00000000">
              <w:rPr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color w:val="366091"/>
                <w:rtl w:val="1"/>
              </w:rPr>
              <w:t xml:space="preserve">مباشر</w:t>
            </w:r>
            <w:r w:rsidDel="00000000" w:rsidR="00000000" w:rsidRPr="00000000">
              <w:rPr>
                <w:color w:val="366091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0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bidi w:val="1"/>
        <w:rPr>
          <w:color w:val="c00000"/>
          <w:sz w:val="20"/>
          <w:szCs w:val="20"/>
        </w:rPr>
      </w:pPr>
      <w:bookmarkStart w:colFirst="0" w:colLast="0" w:name="_heading=h.3j2qqm3" w:id="21"/>
      <w:bookmarkEnd w:id="21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rPr>
          <w:color w:val="c00000"/>
          <w:sz w:val="20"/>
          <w:szCs w:val="20"/>
        </w:rPr>
      </w:pPr>
      <w:bookmarkStart w:colFirst="0" w:colLast="0" w:name="_heading=h.1y810tw" w:id="22"/>
      <w:bookmarkEnd w:id="22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bidi w:val="1"/>
        <w:rPr/>
      </w:pPr>
      <w:bookmarkStart w:colFirst="0" w:colLast="0" w:name="_heading=h.4i7ojhp" w:id="23"/>
      <w:bookmarkEnd w:id="23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840"/>
        <w:gridCol w:w="7731"/>
        <w:tblGridChange w:id="0">
          <w:tblGrid>
            <w:gridCol w:w="1840"/>
            <w:gridCol w:w="7731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0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before="240" w:line="276" w:lineRule="auto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2"/>
                <w:szCs w:val="32"/>
                <w:rtl w:val="1"/>
              </w:rPr>
              <w:t xml:space="preserve"> 21/22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spacing w:before="240" w:line="276" w:lineRule="auto"/>
              <w:jc w:val="right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0">
      <w:pPr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8hxU5o67x8xZYmwIvGX1GPMfrA==">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2021-10-16T12:54:00Z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