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والتأمينات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الاجتماعية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jc w:val="right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 320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الخاص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التعريف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بالمقرر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الدراسي</w:t>
            </w:r>
          </w:hyperlink>
          <w:hyperlink w:anchor="_heading=h.gjdgxs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-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هدف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ومخرجاته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التعليمية</w:t>
            </w:r>
          </w:hyperlink>
          <w:hyperlink w:anchor="_heading=h.2et92p0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tl w:val="0"/>
              </w:rPr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الوصف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tl w:val="0"/>
              </w:rPr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الهدف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الرئيس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tl w:val="0"/>
              </w:rPr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3.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4d34og8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والتقييم</w:t>
            </w:r>
          </w:hyperlink>
          <w:hyperlink w:anchor="_heading=h.2s8eyo1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tl w:val="0"/>
              </w:rPr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مخرجات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مع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كل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استراتيجيات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التدريس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التقييم</w:t>
            </w:r>
          </w:hyperlink>
          <w:hyperlink w:anchor="_heading=h.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tl w:val="0"/>
              </w:rPr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</w:hyperlink>
          <w:hyperlink w:anchor="_heading=h.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هـ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-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أنشطة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الإرشاد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الأكاديمي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والدعم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الطلابي</w:t>
            </w:r>
          </w:hyperlink>
          <w:hyperlink w:anchor="_heading=h.26in1rg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والمرافق</w:t>
            </w:r>
          </w:hyperlink>
          <w:hyperlink w:anchor="_heading=h.lnxbz9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tl w:val="0"/>
              </w:rPr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1.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قائمة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التعلم</w:t>
            </w:r>
          </w:hyperlink>
          <w:hyperlink w:anchor="_heading=h.35nkun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345"/>
            </w:tabs>
            <w:bidi w:val="1"/>
            <w:spacing w:after="100" w:before="0" w:line="240" w:lineRule="auto"/>
            <w:ind w:left="24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44sinio">
            <w:r w:rsidDel="00000000" w:rsidR="00000000" w:rsidRPr="00000000">
              <w:rPr>
                <w:rtl w:val="0"/>
              </w:rPr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2.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المرافق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والتجهيزات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المطلوبة</w:t>
            </w:r>
          </w:hyperlink>
          <w:hyperlink w:anchor="_heading=h.44sinio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ز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جودة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</w:hyperlink>
          <w:hyperlink w:anchor="_heading=h.2jxsxqh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8630"/>
            </w:tabs>
            <w:bidi w:val="1"/>
            <w:spacing w:after="10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التوصيف</w:t>
            </w:r>
          </w:hyperlink>
          <w:hyperlink w:anchor="_heading=h.2xcytpi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bidi w:val="1"/>
            <w:jc w:val="right"/>
            <w:rPr/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8">
      <w:pPr>
        <w:pStyle w:val="Heading1"/>
        <w:bidi w:val="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64"/>
        <w:gridCol w:w="696"/>
        <w:gridCol w:w="856"/>
        <w:gridCol w:w="58"/>
        <w:gridCol w:w="213"/>
        <w:gridCol w:w="179"/>
        <w:gridCol w:w="270"/>
        <w:gridCol w:w="504"/>
        <w:gridCol w:w="270"/>
        <w:gridCol w:w="679"/>
        <w:gridCol w:w="270"/>
        <w:gridCol w:w="203"/>
        <w:gridCol w:w="431"/>
        <w:gridCol w:w="270"/>
        <w:gridCol w:w="1941"/>
        <w:gridCol w:w="270"/>
        <w:gridCol w:w="1751"/>
        <w:tblGridChange w:id="0">
          <w:tblGrid>
            <w:gridCol w:w="464"/>
            <w:gridCol w:w="696"/>
            <w:gridCol w:w="856"/>
            <w:gridCol w:w="58"/>
            <w:gridCol w:w="213"/>
            <w:gridCol w:w="179"/>
            <w:gridCol w:w="270"/>
            <w:gridCol w:w="504"/>
            <w:gridCol w:w="270"/>
            <w:gridCol w:w="679"/>
            <w:gridCol w:w="270"/>
            <w:gridCol w:w="203"/>
            <w:gridCol w:w="431"/>
            <w:gridCol w:w="270"/>
            <w:gridCol w:w="1941"/>
            <w:gridCol w:w="270"/>
            <w:gridCol w:w="1751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shd w:fill="000000" w:val="clear"/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الثالثة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الخامس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Law 111</w:t>
            </w:r>
          </w:p>
          <w:p w:rsidR="00000000" w:rsidDel="00000000" w:rsidP="00000000" w:rsidRDefault="00000000" w:rsidRPr="00000000" w14:paraId="0000009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يوجد</w:t>
            </w:r>
          </w:p>
          <w:p w:rsidR="00000000" w:rsidDel="00000000" w:rsidP="00000000" w:rsidRDefault="00000000" w:rsidRPr="00000000" w14:paraId="000000B4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4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DF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E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تمارين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1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3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bidi w:val="1"/>
        <w:jc w:val="right"/>
        <w:rPr/>
      </w:pPr>
      <w:bookmarkStart w:colFirst="0" w:colLast="0" w:name="_heading=h.2et92p0" w:id="4"/>
      <w:bookmarkEnd w:id="4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5">
            <w:pPr>
              <w:pStyle w:val="Heading2"/>
              <w:numPr>
                <w:ilvl w:val="0"/>
                <w:numId w:val="4"/>
              </w:numPr>
              <w:bidi w:val="1"/>
              <w:ind w:left="720" w:hanging="360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6">
            <w:pPr>
              <w:bidi w:val="1"/>
              <w:spacing w:before="240" w:lineRule="auto"/>
              <w:rPr/>
            </w:pPr>
            <w:r w:rsidDel="00000000" w:rsidR="00000000" w:rsidRPr="00000000">
              <w:rPr>
                <w:rtl w:val="1"/>
              </w:rPr>
              <w:t xml:space="preserve">يعنى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للمستقبل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علاقات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القطاع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للعاملين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الأجور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المستخدمين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القطاع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فيغطي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بنشأة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وتنفيذ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انقضاء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الموظف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والأجنبي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وكيفية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النزاعات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بعقودهم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والسبب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ربط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جزء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يتجزأ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الآخر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حيث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الأساس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لنشأة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الإجتماعية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بالإضافة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يستظل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انتهاء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علاقته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يحميها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لمواجهة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الأخطار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الإجتماعية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والحصول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التعاقدي</w:t>
            </w:r>
            <w:r w:rsidDel="00000000" w:rsidR="00000000" w:rsidRPr="00000000">
              <w:rPr>
                <w:rtl w:val="1"/>
              </w:rPr>
              <w:t xml:space="preserve">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pStyle w:val="Heading2"/>
              <w:bidi w:val="1"/>
              <w:rPr/>
            </w:pPr>
            <w:bookmarkStart w:colFirst="0" w:colLast="0" w:name="_heading=h.3dy6vkm" w:id="6"/>
            <w:bookmarkEnd w:id="6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8">
            <w:pPr>
              <w:bidi w:val="1"/>
              <w:spacing w:before="240" w:lineRule="auto"/>
              <w:ind w:left="284" w:firstLine="0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بإنهاء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يكتسب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لحياته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ماهية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الإجتماعية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فيعنى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بتعريف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أركانه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إثباته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وتمييزه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العقود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الوكالة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الإيجار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والمقاولة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وواجبات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وصاحب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خلال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حتى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انتهائها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وأخيرا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طرق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انتهاء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أما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 : </w:t>
            </w:r>
            <w:r w:rsidDel="00000000" w:rsidR="00000000" w:rsidRPr="00000000">
              <w:rPr>
                <w:rtl w:val="1"/>
              </w:rPr>
              <w:t xml:space="preserve">الفئات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الشمولة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الإجتماعي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الخضوع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الإلزامي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والإختياري</w:t>
            </w:r>
            <w:r w:rsidDel="00000000" w:rsidR="00000000" w:rsidRPr="00000000">
              <w:rPr>
                <w:rtl w:val="1"/>
              </w:rPr>
              <w:t xml:space="preserve">)، </w:t>
            </w:r>
            <w:r w:rsidDel="00000000" w:rsidR="00000000" w:rsidRPr="00000000">
              <w:rPr>
                <w:rtl w:val="1"/>
              </w:rPr>
              <w:t xml:space="preserve">فروع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الإجتماعية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فرع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المخاطر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المهنية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إصابات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الأمراض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المهنية</w:t>
            </w:r>
            <w:r w:rsidDel="00000000" w:rsidR="00000000" w:rsidRPr="00000000">
              <w:rPr>
                <w:rtl w:val="1"/>
              </w:rPr>
              <w:t xml:space="preserve">). </w:t>
            </w:r>
            <w:r w:rsidDel="00000000" w:rsidR="00000000" w:rsidRPr="00000000">
              <w:rPr>
                <w:rtl w:val="1"/>
              </w:rPr>
              <w:t xml:space="preserve">فرع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المعاشات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العجز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المهني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الوفاة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الشيخوخة</w:t>
            </w:r>
            <w:r w:rsidDel="00000000" w:rsidR="00000000" w:rsidRPr="00000000">
              <w:rPr>
                <w:rtl w:val="1"/>
              </w:rPr>
              <w:t xml:space="preserve">)، </w:t>
            </w:r>
            <w:r w:rsidDel="00000000" w:rsidR="00000000" w:rsidRPr="00000000">
              <w:rPr>
                <w:rtl w:val="1"/>
              </w:rPr>
              <w:t xml:space="preserve">وفرع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التعطل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حافز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وساند</w:t>
            </w:r>
            <w:r w:rsidDel="00000000" w:rsidR="00000000" w:rsidRPr="00000000">
              <w:rPr>
                <w:rtl w:val="1"/>
              </w:rPr>
              <w:t xml:space="preserve">). </w:t>
            </w:r>
          </w:p>
        </w:tc>
      </w:tr>
    </w:tbl>
    <w:p w:rsidR="00000000" w:rsidDel="00000000" w:rsidP="00000000" w:rsidRDefault="00000000" w:rsidRPr="00000000" w14:paraId="000000F9">
      <w:pPr>
        <w:pStyle w:val="Heading2"/>
        <w:bidi w:val="1"/>
        <w:rPr/>
      </w:pPr>
      <w:bookmarkStart w:colFirst="0" w:colLast="0" w:name="_heading=h.1t3h5sf" w:id="7"/>
      <w:bookmarkEnd w:id="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-8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D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F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F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2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تعرف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عقد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وتميزه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العقود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المدنية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الأخرى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03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2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6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1"/>
              </w:rPr>
              <w:t xml:space="preserve">يشرح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حقوق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وصاحب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وواجباتهم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0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2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يفسر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وينتقد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النصوص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والأحكام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القضائية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العمالية</w:t>
            </w:r>
          </w:p>
          <w:p w:rsidR="00000000" w:rsidDel="00000000" w:rsidP="00000000" w:rsidRDefault="00000000" w:rsidRPr="00000000" w14:paraId="00000113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المبادئ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القضايا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والتطبيقات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17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A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بقانون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B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4</w:t>
            </w:r>
          </w:p>
          <w:p w:rsidR="00000000" w:rsidDel="00000000" w:rsidP="00000000" w:rsidRDefault="00000000" w:rsidRPr="00000000" w14:paraId="0000011C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 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D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2.4.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11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21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2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4">
            <w:pPr>
              <w:bidi w:val="1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</w:t>
            </w:r>
            <w:r w:rsidDel="00000000" w:rsidR="00000000" w:rsidRPr="00000000">
              <w:rPr>
                <w:rtl w:val="1"/>
              </w:rPr>
              <w:t xml:space="preserve">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6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وحفظ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8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ت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</w:t>
            </w:r>
            <w:r w:rsidDel="00000000" w:rsidR="00000000" w:rsidRPr="00000000">
              <w:rPr>
                <w:rtl w:val="1"/>
              </w:rPr>
              <w:t xml:space="preserve">. 7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2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3...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2D">
            <w:pPr>
              <w:bidi w:val="1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2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Style w:val="Heading1"/>
        <w:bidi w:val="1"/>
        <w:rPr/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حقوق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والتزامات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وأصحاب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فترة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التجربة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80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القانوني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للأجور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التأديب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والعقوبات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المترتبة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مخالفة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1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طرق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انتهاء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عقد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ومكافأة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نهاية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الخدمة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تشغيل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السعوديين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وتوطين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الأيدي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العاملة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B">
            <w:pPr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التدرج</w:t>
            </w:r>
            <w:r w:rsidDel="00000000" w:rsidR="00000000" w:rsidRPr="00000000">
              <w:rPr>
                <w:b w:val="1"/>
                <w:rtl w:val="1"/>
              </w:rPr>
              <w:t xml:space="preserve"> – </w:t>
            </w:r>
            <w:r w:rsidDel="00000000" w:rsidR="00000000" w:rsidRPr="00000000">
              <w:rPr>
                <w:b w:val="1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العمل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الإختبار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08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تشغيل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النساء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16" w:lineRule="auto"/>
              <w:ind w:left="144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تشغيل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الأطفال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180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الثاني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التأمينات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1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المخاطر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إصابات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1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الأمراض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فرع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المعاشات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العجز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المهني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الوفاة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الشيخوخة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وفرع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التعطل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حافز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200" w:before="0" w:line="276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ساند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68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Style w:val="Heading1"/>
        <w:bidi w:val="1"/>
        <w:jc w:val="right"/>
        <w:rPr/>
      </w:pPr>
      <w:bookmarkStart w:colFirst="0" w:colLast="0" w:name="_heading=h.2s8eyo1" w:id="9"/>
      <w:bookmarkEnd w:id="9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6A">
      <w:pPr>
        <w:pStyle w:val="Heading2"/>
        <w:bidi w:val="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6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4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تعرف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عقد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وتميزه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العقود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المدنية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الأخرى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7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العملي</w:t>
            </w:r>
          </w:p>
          <w:p w:rsidR="00000000" w:rsidDel="00000000" w:rsidP="00000000" w:rsidRDefault="00000000" w:rsidRPr="00000000" w14:paraId="0000017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7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F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يحدد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حقوق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العامل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وأصحاب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وواجباتهم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المناقشات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التدريب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العملي</w:t>
            </w:r>
          </w:p>
          <w:p w:rsidR="00000000" w:rsidDel="00000000" w:rsidP="00000000" w:rsidRDefault="00000000" w:rsidRPr="00000000" w14:paraId="0000018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الشهرية</w:t>
            </w:r>
          </w:p>
          <w:p w:rsidR="00000000" w:rsidDel="00000000" w:rsidP="00000000" w:rsidRDefault="00000000" w:rsidRPr="00000000" w14:paraId="0000018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8D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1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يفسر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وينتقد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النصوص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العمالية</w:t>
            </w:r>
          </w:p>
          <w:p w:rsidR="00000000" w:rsidDel="00000000" w:rsidP="00000000" w:rsidRDefault="00000000" w:rsidRPr="00000000" w14:paraId="0000019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95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99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9B">
            <w:pPr>
              <w:bidi w:val="1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1"/>
              </w:rPr>
              <w:t xml:space="preserve">يطبق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المبادئ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القانونية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القضايا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والتطبيقات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العملية</w:t>
            </w:r>
          </w:p>
          <w:p w:rsidR="00000000" w:rsidDel="00000000" w:rsidP="00000000" w:rsidRDefault="00000000" w:rsidRPr="00000000" w14:paraId="0000019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9E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التدريب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العملي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التكاليف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 </w:t>
            </w:r>
          </w:p>
          <w:p w:rsidR="00000000" w:rsidDel="00000000" w:rsidP="00000000" w:rsidRDefault="00000000" w:rsidRPr="00000000" w14:paraId="000001A2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المناقشات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الصفية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A4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يعد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البحوث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والتقارير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عن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المواضيع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ذات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الصلة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بقانون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A6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المهمات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المنزلية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A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A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A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3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يتعاون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المهمات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الفردية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والجماعية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الصفية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</w:r>
          </w:p>
          <w:p w:rsidR="00000000" w:rsidDel="00000000" w:rsidP="00000000" w:rsidRDefault="00000000" w:rsidRPr="00000000" w14:paraId="000001B5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عرض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التكاليف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ومناقشتها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تقويم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الأعمال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</w:p>
          <w:p w:rsidR="00000000" w:rsidDel="00000000" w:rsidP="00000000" w:rsidRDefault="00000000" w:rsidRPr="00000000" w14:paraId="000001B9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تقويم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قائد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الفريق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البحثي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أو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النقاشي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B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احترام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والإجراءات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بتنظيم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بيئة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وحفظ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حقوق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التكاليف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ومناقشتها</w:t>
            </w:r>
          </w:p>
          <w:p w:rsidR="00000000" w:rsidDel="00000000" w:rsidP="00000000" w:rsidRDefault="00000000" w:rsidRPr="00000000" w14:paraId="000001B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الابحاث</w:t>
            </w:r>
          </w:p>
          <w:p w:rsidR="00000000" w:rsidDel="00000000" w:rsidP="00000000" w:rsidRDefault="00000000" w:rsidRPr="00000000" w14:paraId="000001BF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C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pStyle w:val="Heading2"/>
        <w:bidi w:val="1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pStyle w:val="Heading2"/>
        <w:bidi w:val="1"/>
        <w:rPr/>
      </w:pPr>
      <w:bookmarkStart w:colFirst="0" w:colLast="0" w:name="_heading=h.bmsxc9jj1lmg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Heading2"/>
        <w:bidi w:val="1"/>
        <w:rPr/>
      </w:pPr>
      <w:bookmarkStart w:colFirst="0" w:colLast="0" w:name="_heading=h.af2vskr8v5m0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pStyle w:val="Heading2"/>
        <w:bidi w:val="1"/>
        <w:rPr/>
      </w:pPr>
      <w:bookmarkStart w:colFirst="0" w:colLast="0" w:name="_heading=h.82405zofnh07" w:id="14"/>
      <w:bookmarkEnd w:id="14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6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650"/>
        <w:gridCol w:w="1950"/>
        <w:tblGridChange w:id="0">
          <w:tblGrid>
            <w:gridCol w:w="421"/>
            <w:gridCol w:w="5555"/>
            <w:gridCol w:w="1650"/>
            <w:gridCol w:w="19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A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C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C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0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الأول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1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السادس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2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4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الإختبار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الفصلي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الثاني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5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التاسع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6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8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المهمات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المنزلية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 (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9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A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الورقة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البحثية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DD">
            <w:pPr>
              <w:bidi w:val="1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الخامس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rtl w:val="1"/>
              </w:rPr>
              <w:t xml:space="preserve">العاشر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D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D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E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4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E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E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EA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C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ED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E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F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F0">
      <w:pPr>
        <w:pStyle w:val="Heading1"/>
        <w:bidi w:val="1"/>
        <w:rPr/>
      </w:pPr>
      <w:bookmarkStart w:colFirst="0" w:colLast="0" w:name="_heading=h.26in1rg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pStyle w:val="Heading1"/>
        <w:bidi w:val="1"/>
        <w:jc w:val="right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يقوم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ببيان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جدول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الصاقه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يبين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تواجده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بإمكان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يحضر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لتواجد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المدرس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دائم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عدى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كما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يتم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إلصاق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اسماء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الذين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يخضعون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لإشراف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المدرس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مكتبه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ايضا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F3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pStyle w:val="Heading1"/>
        <w:bidi w:val="1"/>
        <w:jc w:val="right"/>
        <w:rPr/>
      </w:pPr>
      <w:bookmarkStart w:colFirst="0" w:colLast="0" w:name="_heading=h.lnxbz9" w:id="16"/>
      <w:bookmarkEnd w:id="16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1F5">
      <w:pPr>
        <w:pStyle w:val="Heading2"/>
        <w:bidi w:val="1"/>
        <w:rPr/>
      </w:pPr>
      <w:bookmarkStart w:colFirst="0" w:colLast="0" w:name="_heading=h.35nkun2" w:id="17"/>
      <w:bookmarkEnd w:id="17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6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الوافي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قانون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والتأمينات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الدكتور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حسيني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ابراهيم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أحمد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ابراهيم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دار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إجادة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الطبعة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، 2020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8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9">
            <w:pPr>
              <w:pStyle w:val="Heading1"/>
              <w:bidi w:val="1"/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شرح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نظامي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العمل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والتأمينات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الاجتماعية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السعودي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الدكتور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محمد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الستار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عبد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الوهاب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مكتبة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المتنبي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الطبعة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الأولى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000000"/>
                <w:sz w:val="24"/>
                <w:szCs w:val="24"/>
                <w:rtl w:val="1"/>
              </w:rPr>
              <w:t xml:space="preserve"> 2019</w:t>
            </w:r>
          </w:p>
          <w:p w:rsidR="00000000" w:rsidDel="00000000" w:rsidP="00000000" w:rsidRDefault="00000000" w:rsidRPr="00000000" w14:paraId="000001FA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وفقا</w:t>
            </w:r>
            <w:r w:rsidDel="00000000" w:rsidR="00000000" w:rsidRPr="00000000">
              <w:rPr>
                <w:rtl w:val="1"/>
              </w:rPr>
              <w:t xml:space="preserve">ً </w:t>
            </w:r>
            <w:r w:rsidDel="00000000" w:rsidR="00000000" w:rsidRPr="00000000">
              <w:rPr>
                <w:rtl w:val="1"/>
              </w:rPr>
              <w:t xml:space="preserve">لآخر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التعديلات</w:t>
            </w:r>
            <w:r w:rsidDel="00000000" w:rsidR="00000000" w:rsidRPr="00000000">
              <w:rPr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1FB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جميع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الأنظمة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المحدثة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للتأمينات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الاجتماعية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i w:val="0"/>
                <w:smallCaps w:val="0"/>
                <w:strike w:val="0"/>
                <w:u w:val="none"/>
                <w:shd w:fill="auto" w:val="clear"/>
                <w:vertAlign w:val="baseline"/>
                <w:rtl w:val="1"/>
              </w:rPr>
              <w:t xml:space="preserve"> .</w:t>
            </w:r>
          </w:p>
          <w:p w:rsidR="00000000" w:rsidDel="00000000" w:rsidP="00000000" w:rsidRDefault="00000000" w:rsidRPr="00000000" w14:paraId="000001F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موقع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أستاذ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المادة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يحتوي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كافة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المواقع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النظامية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 .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01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https://www.moj.gov.sa/ar-sa/ministry/versions/Documents/50.pdf</w:t>
            </w:r>
          </w:p>
        </w:tc>
      </w:tr>
    </w:tbl>
    <w:p w:rsidR="00000000" w:rsidDel="00000000" w:rsidP="00000000" w:rsidRDefault="00000000" w:rsidRPr="00000000" w14:paraId="00000202">
      <w:pPr>
        <w:pStyle w:val="Heading2"/>
        <w:bidi w:val="1"/>
        <w:rPr>
          <w:sz w:val="14"/>
          <w:szCs w:val="14"/>
        </w:rPr>
      </w:pPr>
      <w:bookmarkStart w:colFirst="0" w:colLast="0" w:name="_heading=h.1ksv4uv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pStyle w:val="Heading2"/>
        <w:bidi w:val="1"/>
        <w:rPr/>
      </w:pPr>
      <w:bookmarkStart w:colFirst="0" w:colLast="0" w:name="_heading=h.44sinio" w:id="19"/>
      <w:bookmarkEnd w:id="19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4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05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207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08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قاع</w:t>
            </w:r>
            <w:r w:rsidDel="00000000" w:rsidR="00000000" w:rsidRPr="00000000">
              <w:rPr>
                <w:rtl w:val="1"/>
              </w:rPr>
              <w:t xml:space="preserve">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المحاضرات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09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20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20B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تتوفر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قاعات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بالاتصال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بالانترنت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بالاضافة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إلى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أجهزة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كمبيوتر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أكثر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مكان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في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الجامعة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لخدمة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الطلاب</w:t>
            </w:r>
            <w:r w:rsidDel="00000000" w:rsidR="00000000" w:rsidRPr="00000000">
              <w:rPr>
                <w:color w:val="000000"/>
                <w:rtl w:val="1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bidi w:val="1"/>
              <w:jc w:val="both"/>
              <w:rPr/>
            </w:pPr>
            <w:r w:rsidDel="00000000" w:rsidR="00000000" w:rsidRPr="00000000">
              <w:rPr>
                <w:color w:val="000000"/>
                <w:rtl w:val="1"/>
              </w:rPr>
              <w:t xml:space="preserve">تم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تجهيز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الفصول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بالسمارت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بورد</w:t>
            </w:r>
            <w:r w:rsidDel="00000000" w:rsidR="00000000" w:rsidRPr="00000000">
              <w:rPr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rtl w:val="1"/>
              </w:rPr>
              <w:t xml:space="preserve">والبروجكترات</w:t>
            </w:r>
            <w:r w:rsidDel="00000000" w:rsidR="00000000" w:rsidRPr="00000000">
              <w:rPr>
                <w:color w:val="000000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E">
      <w:pPr>
        <w:pStyle w:val="Heading1"/>
        <w:bidi w:val="1"/>
        <w:rPr/>
      </w:pPr>
      <w:bookmarkStart w:colFirst="0" w:colLast="0" w:name="_heading=h.2jxsxqh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pStyle w:val="Heading1"/>
        <w:bidi w:val="1"/>
        <w:jc w:val="right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5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11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12">
            <w:pPr>
              <w:bidi w:val="1"/>
              <w:jc w:val="center"/>
              <w:rPr/>
            </w:pPr>
            <w:bookmarkStart w:colFirst="0" w:colLast="0" w:name="_heading=h.z337ya" w:id="21"/>
            <w:bookmarkEnd w:id="21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21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bidi w:val="1"/>
              <w:jc w:val="both"/>
              <w:rPr/>
            </w:pPr>
            <w:bookmarkStart w:colFirst="0" w:colLast="0" w:name="_heading=h.3j2qqm3" w:id="22"/>
            <w:bookmarkEnd w:id="22"/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التدريس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منسق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peer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observation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21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السنوي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الزملاء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  <w:p w:rsidR="00000000" w:rsidDel="00000000" w:rsidP="00000000" w:rsidRDefault="00000000" w:rsidRPr="00000000" w14:paraId="0000021B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فاعلية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أساليب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1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1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1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نتائج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0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تحصيل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مخرجات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استبيان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نهاية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7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جودة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مصادر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التعلم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22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المحاضر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2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تقرير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B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تقييم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CES</w:t>
            </w:r>
          </w:p>
        </w:tc>
      </w:tr>
    </w:tbl>
    <w:p w:rsidR="00000000" w:rsidDel="00000000" w:rsidP="00000000" w:rsidRDefault="00000000" w:rsidRPr="00000000" w14:paraId="0000022C">
      <w:pPr>
        <w:bidi w:val="1"/>
        <w:rPr>
          <w:color w:val="c00000"/>
          <w:sz w:val="20"/>
          <w:szCs w:val="20"/>
        </w:rPr>
      </w:pPr>
      <w:bookmarkStart w:colFirst="0" w:colLast="0" w:name="_heading=h.1y810tw" w:id="23"/>
      <w:bookmarkEnd w:id="23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bidi w:val="1"/>
        <w:rPr>
          <w:sz w:val="20"/>
          <w:szCs w:val="20"/>
        </w:rPr>
      </w:pPr>
      <w:bookmarkStart w:colFirst="0" w:colLast="0" w:name="_heading=h.4i7ojhp" w:id="24"/>
      <w:bookmarkEnd w:id="24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2E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pStyle w:val="Heading1"/>
        <w:bidi w:val="1"/>
        <w:jc w:val="right"/>
        <w:rPr/>
      </w:pPr>
      <w:bookmarkStart w:colFirst="0" w:colLast="0" w:name="_heading=h.2xcytpi" w:id="25"/>
      <w:bookmarkEnd w:id="25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1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32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33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34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5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36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37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38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39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-720088</wp:posOffset>
          </wp:positionH>
          <wp:positionV relativeFrom="paragraph">
            <wp:posOffset>-371028</wp:posOffset>
          </wp:positionV>
          <wp:extent cx="7313289" cy="761800"/>
          <wp:effectExtent b="0" l="0" r="0" t="0"/>
          <wp:wrapNone/>
          <wp:docPr id="1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7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5842000</wp:posOffset>
              </wp:positionH>
              <wp:positionV relativeFrom="paragraph">
                <wp:posOffset>-241299</wp:posOffset>
              </wp:positionV>
              <wp:extent cx="598170" cy="419100"/>
              <wp:effectExtent b="0" l="0" r="0" t="0"/>
              <wp:wrapSquare wrapText="bothSides" distB="0" distT="0" distL="114300" distR="11430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8170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3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-547419</wp:posOffset>
          </wp:positionH>
          <wp:positionV relativeFrom="paragraph">
            <wp:posOffset>-72464</wp:posOffset>
          </wp:positionV>
          <wp:extent cx="7127737" cy="10080000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2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-"/>
      <w:lvlJc w:val="left"/>
      <w:pPr>
        <w:ind w:left="144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9"/>
      <w:numFmt w:val="bullet"/>
      <w:lvlText w:val="-"/>
      <w:lvlJc w:val="left"/>
      <w:pPr>
        <w:ind w:left="1080" w:hanging="360"/>
      </w:pPr>
      <w:rPr>
        <w:rFonts w:ascii="Times New Roman" w:cs="Times New Roman" w:eastAsia="Times New Roman" w:hAnsi="Times New Roman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spacing w:after="60" w:lineRule="auto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  <w:spacing w:after="60" w:lineRule="auto"/>
    </w:pPr>
    <w:rPr>
      <w:rFonts w:ascii="Arial" w:cs="Arial" w:eastAsia="Arial" w:hAnsi="Arial"/>
      <w:b w:val="1"/>
      <w:color w:val="273444"/>
      <w:sz w:val="22"/>
      <w:szCs w:val="22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680765"/>
    <w:pPr>
      <w:keepNext w:val="1"/>
      <w:bidi w:val="1"/>
      <w:spacing w:after="60" w:line="312" w:lineRule="atLeast"/>
      <w:outlineLvl w:val="0"/>
    </w:pPr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680765"/>
    <w:rPr>
      <w:rFonts w:ascii="Arial" w:cs="Arial" w:hAnsi="Arial"/>
      <w:b w:val="1"/>
      <w:bCs w:val="1"/>
      <w:color w:val="273444"/>
      <w:sz w:val="22"/>
      <w:szCs w:val="22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98321D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gCFg+FkvcaYJPthPNfv4ghRfmw==">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2021-11-02T05:05:00Z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