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316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الخاص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213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تمارين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bidi w:val="1"/>
        <w:jc w:val="right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5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spacing w:after="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سلسلة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الأصلية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التركيز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بدراسة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تنضج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وتكتمل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مفردات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يهتم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بتدريس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وأصولها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كذلك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تسليط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الضوء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للأجانب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تملكه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spacing w:after="0" w:before="240" w:lineRule="auto"/>
              <w:ind w:left="0" w:firstLine="0"/>
              <w:rPr/>
            </w:pPr>
            <w:r w:rsidDel="00000000" w:rsidR="00000000" w:rsidRPr="00000000">
              <w:rPr>
                <w:rtl w:val="1"/>
              </w:rPr>
              <w:t xml:space="preserve">يهدف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تغطية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الأموال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أنواعها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وأحكامها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للملكية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بالملكية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خصائصها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نطاقها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مضمونها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القيود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حدود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الشائعة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والمفرزة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الشفعة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الوحدات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الاعتراض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9">
            <w:pPr>
              <w:bidi w:val="1"/>
              <w:spacing w:after="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16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الحقوق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العينية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الأصلية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عموما</w:t>
            </w:r>
            <w:r w:rsidDel="00000000" w:rsidR="00000000" w:rsidRPr="00000000">
              <w:rPr>
                <w:color w:val="000000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rtl w:val="1"/>
              </w:rPr>
              <w:t xml:space="preserve">وحق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الملكية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خاصة</w:t>
            </w:r>
            <w:r w:rsidDel="00000000" w:rsidR="00000000" w:rsidRPr="00000000">
              <w:rPr>
                <w:color w:val="000000"/>
                <w:rtl w:val="1"/>
              </w:rPr>
              <w:t xml:space="preserve">ً. </w:t>
            </w:r>
          </w:p>
          <w:p w:rsidR="00000000" w:rsidDel="00000000" w:rsidP="00000000" w:rsidRDefault="00000000" w:rsidRPr="00000000" w14:paraId="00000104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7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أسباب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كسب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الملكية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الاصلية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والتبعية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يصف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الأموال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والأحكام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بها</w:t>
            </w:r>
          </w:p>
          <w:p w:rsidR="00000000" w:rsidDel="00000000" w:rsidP="00000000" w:rsidRDefault="00000000" w:rsidRPr="00000000" w14:paraId="00000114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بالضمان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والشفعة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والحيازة</w:t>
            </w:r>
          </w:p>
          <w:p w:rsidR="00000000" w:rsidDel="00000000" w:rsidP="00000000" w:rsidRDefault="00000000" w:rsidRPr="00000000" w14:paraId="00000118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بحقوق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1"/>
        <w:bidi w:val="1"/>
        <w:jc w:val="right"/>
        <w:rPr/>
      </w:pPr>
      <w:bookmarkStart w:colFirst="0" w:colLast="0" w:name="_heading=h.1t3h5sf" w:id="7"/>
      <w:bookmarkEnd w:id="7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بالحقوق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التمييز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الحقوق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والحقوق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العينية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بالحق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العيني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الحقوق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العينية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القيود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القيود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القيود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الإرادية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الإنتفاع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بالمال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الشائع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الشائع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الشيوع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الإجباري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44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كسب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56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الحيازة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العقار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20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المنقول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56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الإلتصاق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56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المنح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العقارية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numPr>
                <w:ilvl w:val="0"/>
                <w:numId w:val="4"/>
              </w:numPr>
              <w:bidi w:val="1"/>
              <w:spacing w:after="200" w:line="216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165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1"/>
        <w:bidi w:val="1"/>
        <w:jc w:val="right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67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الحقوق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العينية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الأصلية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عموما</w:t>
            </w:r>
            <w:r w:rsidDel="00000000" w:rsidR="00000000" w:rsidRPr="00000000">
              <w:rPr>
                <w:color w:val="000000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rtl w:val="1"/>
              </w:rPr>
              <w:t xml:space="preserve">وحق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الملكية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خاصة</w:t>
            </w:r>
            <w:r w:rsidDel="00000000" w:rsidR="00000000" w:rsidRPr="00000000">
              <w:rPr>
                <w:color w:val="000000"/>
                <w:rtl w:val="1"/>
              </w:rPr>
              <w:t xml:space="preserve">ً. </w:t>
            </w:r>
          </w:p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17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أسباب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كسب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الملكية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الاصلية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والتبعية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18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8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A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يصف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الأموال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والأحكام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بها</w:t>
            </w:r>
          </w:p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بالضمان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والشفعة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والحيازة</w:t>
            </w:r>
          </w:p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النقاشي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Heading2"/>
        <w:bidi w:val="1"/>
        <w:rPr/>
      </w:pPr>
      <w:bookmarkStart w:colFirst="0" w:colLast="0" w:name="_heading=h.vzy9671ia78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Style w:val="Heading2"/>
        <w:bidi w:val="1"/>
        <w:rPr/>
      </w:pPr>
      <w:bookmarkStart w:colFirst="0" w:colLast="0" w:name="_heading=h.cs5dl3vxscc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Heading2"/>
        <w:bidi w:val="1"/>
        <w:rPr/>
      </w:pPr>
      <w:bookmarkStart w:colFirst="0" w:colLast="0" w:name="_heading=h.oihyx49ozdw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2"/>
        <w:bidi w:val="1"/>
        <w:rPr/>
      </w:pPr>
      <w:bookmarkStart w:colFirst="0" w:colLast="0" w:name="_heading=h.i6jkrjvp190n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614"/>
        <w:gridCol w:w="1986.0000000000002"/>
        <w:tblGridChange w:id="0">
          <w:tblGrid>
            <w:gridCol w:w="421"/>
            <w:gridCol w:w="5555"/>
            <w:gridCol w:w="1614"/>
            <w:gridCol w:w="1986.0000000000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C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E6">
      <w:pPr>
        <w:pStyle w:val="Heading1"/>
        <w:bidi w:val="1"/>
        <w:rPr/>
      </w:pPr>
      <w:bookmarkStart w:colFirst="0" w:colLast="0" w:name="_heading=h.3rdcrjn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Style w:val="Heading1"/>
        <w:bidi w:val="1"/>
        <w:jc w:val="right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E9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Style w:val="Heading1"/>
        <w:bidi w:val="1"/>
        <w:jc w:val="right"/>
        <w:rPr/>
      </w:pPr>
      <w:bookmarkStart w:colFirst="0" w:colLast="0" w:name="_heading=h.26in1rg" w:id="16"/>
      <w:bookmarkEnd w:id="16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EB">
      <w:pPr>
        <w:pStyle w:val="Heading2"/>
        <w:bidi w:val="1"/>
        <w:rPr/>
      </w:pPr>
      <w:bookmarkStart w:colFirst="0" w:colLast="0" w:name="_heading=h.lnxbz9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before="240" w:lineRule="auto"/>
              <w:jc w:val="right"/>
              <w:rPr/>
            </w:pPr>
            <w:bookmarkStart w:colFirst="0" w:colLast="0" w:name="_heading=h.35nkun2" w:id="18"/>
            <w:bookmarkEnd w:id="18"/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الدكتور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للو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الإجادة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  <w:t xml:space="preserve"> 2017 </w:t>
            </w:r>
          </w:p>
          <w:p w:rsidR="00000000" w:rsidDel="00000000" w:rsidP="00000000" w:rsidRDefault="00000000" w:rsidRPr="00000000" w14:paraId="000001E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مفلح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ربيعان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القحطاني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بهاء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العلايلي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2013</w:t>
            </w:r>
          </w:p>
          <w:p w:rsidR="00000000" w:rsidDel="00000000" w:rsidP="00000000" w:rsidRDefault="00000000" w:rsidRPr="00000000" w14:paraId="000001F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أيمن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جمال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عبدالرحمن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والتوزيع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جدة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موقع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أستاذ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المادة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والذي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يحتوي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كافة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المواقع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النظامية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والقانونية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1F9">
      <w:pPr>
        <w:pStyle w:val="Heading2"/>
        <w:bidi w:val="1"/>
        <w:rPr>
          <w:sz w:val="14"/>
          <w:szCs w:val="14"/>
        </w:rPr>
      </w:pPr>
      <w:bookmarkStart w:colFirst="0" w:colLast="0" w:name="_heading=h.1ksv4uv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Style w:val="Heading2"/>
        <w:bidi w:val="1"/>
        <w:rPr/>
      </w:pPr>
      <w:bookmarkStart w:colFirst="0" w:colLast="0" w:name="_heading=h.44sinio" w:id="20"/>
      <w:bookmarkEnd w:id="2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F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قاعة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2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بالانترنت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بالاضافة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Style w:val="Heading1"/>
        <w:bidi w:val="1"/>
        <w:rPr/>
      </w:pPr>
      <w:bookmarkStart w:colFirst="0" w:colLast="0" w:name="_heading=h.2jxsxqh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/>
            </w:pPr>
            <w:bookmarkStart w:colFirst="0" w:colLast="0" w:name="_heading=h.z337ya" w:id="22"/>
            <w:bookmarkEnd w:id="22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both"/>
              <w:rPr/>
            </w:pPr>
            <w:bookmarkStart w:colFirst="0" w:colLast="0" w:name="_heading=h.3j2qqm3" w:id="23"/>
            <w:bookmarkEnd w:id="23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0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1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</w:tbl>
    <w:p w:rsidR="00000000" w:rsidDel="00000000" w:rsidP="00000000" w:rsidRDefault="00000000" w:rsidRPr="00000000" w14:paraId="00000222">
      <w:pPr>
        <w:bidi w:val="1"/>
        <w:rPr>
          <w:color w:val="c00000"/>
          <w:sz w:val="20"/>
          <w:szCs w:val="20"/>
        </w:rPr>
      </w:pPr>
      <w:bookmarkStart w:colFirst="0" w:colLast="0" w:name="_heading=h.1y810tw" w:id="24"/>
      <w:bookmarkEnd w:id="24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rPr>
          <w:sz w:val="20"/>
          <w:szCs w:val="20"/>
        </w:rPr>
      </w:pPr>
      <w:bookmarkStart w:colFirst="0" w:colLast="0" w:name="_heading=h.4i7ojhp" w:id="25"/>
      <w:bookmarkEnd w:id="25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24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Heading1"/>
        <w:bidi w:val="1"/>
        <w:jc w:val="right"/>
        <w:rPr/>
      </w:pPr>
      <w:bookmarkStart w:colFirst="0" w:colLast="0" w:name="_heading=h.2xcytpi" w:id="26"/>
      <w:bookmarkEnd w:id="26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29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2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30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5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280" w:hanging="360"/>
      </w:pPr>
      <w:rPr/>
    </w:lvl>
    <w:lvl w:ilvl="2">
      <w:start w:val="1"/>
      <w:numFmt w:val="lowerRoman"/>
      <w:lvlText w:val="%3."/>
      <w:lvlJc w:val="right"/>
      <w:pPr>
        <w:ind w:left="3000" w:hanging="180"/>
      </w:pPr>
      <w:rPr/>
    </w:lvl>
    <w:lvl w:ilvl="3">
      <w:start w:val="1"/>
      <w:numFmt w:val="decimal"/>
      <w:lvlText w:val="%4."/>
      <w:lvlJc w:val="left"/>
      <w:pPr>
        <w:ind w:left="3720" w:hanging="360"/>
      </w:pPr>
      <w:rPr/>
    </w:lvl>
    <w:lvl w:ilvl="4">
      <w:start w:val="1"/>
      <w:numFmt w:val="lowerLetter"/>
      <w:lvlText w:val="%5."/>
      <w:lvlJc w:val="left"/>
      <w:pPr>
        <w:ind w:left="4440" w:hanging="360"/>
      </w:pPr>
      <w:rPr/>
    </w:lvl>
    <w:lvl w:ilvl="5">
      <w:start w:val="1"/>
      <w:numFmt w:val="lowerRoman"/>
      <w:lvlText w:val="%6."/>
      <w:lvlJc w:val="right"/>
      <w:pPr>
        <w:ind w:left="5160" w:hanging="180"/>
      </w:pPr>
      <w:rPr/>
    </w:lvl>
    <w:lvl w:ilvl="6">
      <w:start w:val="1"/>
      <w:numFmt w:val="decimal"/>
      <w:lvlText w:val="%7."/>
      <w:lvlJc w:val="left"/>
      <w:pPr>
        <w:ind w:left="5880" w:hanging="360"/>
      </w:pPr>
      <w:rPr/>
    </w:lvl>
    <w:lvl w:ilvl="7">
      <w:start w:val="1"/>
      <w:numFmt w:val="lowerLetter"/>
      <w:lvlText w:val="%8."/>
      <w:lvlJc w:val="left"/>
      <w:pPr>
        <w:ind w:left="6600" w:hanging="360"/>
      </w:pPr>
      <w:rPr/>
    </w:lvl>
    <w:lvl w:ilvl="8">
      <w:start w:val="1"/>
      <w:numFmt w:val="lowerRoman"/>
      <w:lvlText w:val="%9."/>
      <w:lvlJc w:val="right"/>
      <w:pPr>
        <w:ind w:left="732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1560" w:hanging="360"/>
      </w:pPr>
      <w:rPr/>
    </w:lvl>
    <w:lvl w:ilvl="1">
      <w:start w:val="1"/>
      <w:numFmt w:val="lowerLetter"/>
      <w:lvlText w:val="%2."/>
      <w:lvlJc w:val="left"/>
      <w:pPr>
        <w:ind w:left="2280" w:hanging="360"/>
      </w:pPr>
      <w:rPr/>
    </w:lvl>
    <w:lvl w:ilvl="2">
      <w:start w:val="1"/>
      <w:numFmt w:val="lowerRoman"/>
      <w:lvlText w:val="%3."/>
      <w:lvlJc w:val="right"/>
      <w:pPr>
        <w:ind w:left="3000" w:hanging="180"/>
      </w:pPr>
      <w:rPr/>
    </w:lvl>
    <w:lvl w:ilvl="3">
      <w:start w:val="1"/>
      <w:numFmt w:val="decimal"/>
      <w:lvlText w:val="%4."/>
      <w:lvlJc w:val="left"/>
      <w:pPr>
        <w:ind w:left="3720" w:hanging="360"/>
      </w:pPr>
      <w:rPr/>
    </w:lvl>
    <w:lvl w:ilvl="4">
      <w:start w:val="1"/>
      <w:numFmt w:val="lowerLetter"/>
      <w:lvlText w:val="%5."/>
      <w:lvlJc w:val="left"/>
      <w:pPr>
        <w:ind w:left="4440" w:hanging="360"/>
      </w:pPr>
      <w:rPr/>
    </w:lvl>
    <w:lvl w:ilvl="5">
      <w:start w:val="1"/>
      <w:numFmt w:val="lowerRoman"/>
      <w:lvlText w:val="%6."/>
      <w:lvlJc w:val="right"/>
      <w:pPr>
        <w:ind w:left="5160" w:hanging="180"/>
      </w:pPr>
      <w:rPr/>
    </w:lvl>
    <w:lvl w:ilvl="6">
      <w:start w:val="1"/>
      <w:numFmt w:val="decimal"/>
      <w:lvlText w:val="%7."/>
      <w:lvlJc w:val="left"/>
      <w:pPr>
        <w:ind w:left="5880" w:hanging="360"/>
      </w:pPr>
      <w:rPr/>
    </w:lvl>
    <w:lvl w:ilvl="7">
      <w:start w:val="1"/>
      <w:numFmt w:val="lowerLetter"/>
      <w:lvlText w:val="%8."/>
      <w:lvlJc w:val="left"/>
      <w:pPr>
        <w:ind w:left="6600" w:hanging="360"/>
      </w:pPr>
      <w:rPr/>
    </w:lvl>
    <w:lvl w:ilvl="8">
      <w:start w:val="1"/>
      <w:numFmt w:val="lowerRoman"/>
      <w:lvlText w:val="%9."/>
      <w:lvlJc w:val="right"/>
      <w:pPr>
        <w:ind w:left="7320" w:hanging="180"/>
      </w:pPr>
      <w:rPr/>
    </w:lvl>
  </w:abstractNum>
  <w:abstractNum w:abstractNumId="4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120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lineRule="auto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lineRule="auto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680765"/>
    <w:pPr>
      <w:keepNext w:val="1"/>
      <w:bidi w:val="1"/>
      <w:spacing w:after="60" w:line="312" w:lineRule="atLeas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680765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viNnL8g/wIQmJeDbvGxHNj/Sw==">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2021-11-02T05:05:00Z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