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617"/>
        <w:gridCol w:w="6954"/>
        <w:tblGridChange w:id="0">
          <w:tblGrid>
            <w:gridCol w:w="2617"/>
            <w:gridCol w:w="6954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قانون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العقود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١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٢٢٣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30j0zll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tl w:val="0"/>
              </w:rPr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59"/>
        <w:gridCol w:w="698"/>
        <w:gridCol w:w="864"/>
        <w:gridCol w:w="48"/>
        <w:gridCol w:w="199"/>
        <w:gridCol w:w="169"/>
        <w:gridCol w:w="390"/>
        <w:gridCol w:w="502"/>
        <w:gridCol w:w="390"/>
        <w:gridCol w:w="682"/>
        <w:gridCol w:w="263"/>
        <w:gridCol w:w="194"/>
        <w:gridCol w:w="427"/>
        <w:gridCol w:w="263"/>
        <w:gridCol w:w="1978"/>
        <w:gridCol w:w="263"/>
        <w:gridCol w:w="1782"/>
        <w:tblGridChange w:id="0">
          <w:tblGrid>
            <w:gridCol w:w="459"/>
            <w:gridCol w:w="698"/>
            <w:gridCol w:w="864"/>
            <w:gridCol w:w="48"/>
            <w:gridCol w:w="199"/>
            <w:gridCol w:w="169"/>
            <w:gridCol w:w="390"/>
            <w:gridCol w:w="502"/>
            <w:gridCol w:w="390"/>
            <w:gridCol w:w="682"/>
            <w:gridCol w:w="263"/>
            <w:gridCol w:w="194"/>
            <w:gridCol w:w="427"/>
            <w:gridCol w:w="263"/>
            <w:gridCol w:w="1978"/>
            <w:gridCol w:w="263"/>
            <w:gridCol w:w="178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٢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90">
            <w:pPr>
              <w:bidi w:val="1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LAW111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bidi w:val="1"/>
        <w:rPr/>
      </w:pPr>
      <w:bookmarkStart w:colFirst="0" w:colLast="0" w:name="_heading=h.2et92p0" w:id="4"/>
      <w:bookmarkEnd w:id="4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bidi w:val="1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سلسلة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شيوعا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والإيجار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بالتركيز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إنشائها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وتنفيذها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وانقضائها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أيضا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يغطي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المنهج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النزاعات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والإيجار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باستعراض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السوابق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ولجان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التحكيم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الدولية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pStyle w:val="Heading2"/>
              <w:bidi w:val="1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يعرف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المسماة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يحلل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وتقسيماتها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يعدد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شروط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وأركان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يطبق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والإيجار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يستخدم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أحكام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البيع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والإيجار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FE">
      <w:pPr>
        <w:pStyle w:val="Heading2"/>
        <w:bidi w:val="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2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2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6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ويحلل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٢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والايجار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وشروطهما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٣، 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1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واستيعابها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٤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يحلل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المشكلات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٥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يدرك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والمقيمين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٧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يشارك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3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1"/>
        <w:bidi w:val="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وأركانه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وتقسيمات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البيع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التراضي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الموصوفة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البيع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البيع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الإيجار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خصائصه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الايجار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المؤجر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والمستأجر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الايجار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5A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Style w:val="Heading1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5C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ويحلل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6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6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صياغة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والايجار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7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7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7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واستيعابها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التدريب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يحلل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المشكلات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التدريب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8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يدرك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والمقيمين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النقاشي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يشارك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A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تقويم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قائد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النقاشي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pStyle w:val="Heading2"/>
        <w:bidi w:val="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348"/>
        <w:gridCol w:w="2247"/>
        <w:tblGridChange w:id="0">
          <w:tblGrid>
            <w:gridCol w:w="421"/>
            <w:gridCol w:w="5555"/>
            <w:gridCol w:w="1348"/>
            <w:gridCol w:w="2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B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وعرضه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للمناقشة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تعليق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حكم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قضائي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لائحة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دعوى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C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D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D6">
      <w:pPr>
        <w:pStyle w:val="Heading1"/>
        <w:bidi w:val="1"/>
        <w:rPr/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D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الصاقه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تواجده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تتجاوز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علما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يخضعون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أيضا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D9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Style w:val="Heading1"/>
        <w:bidi w:val="1"/>
        <w:rPr/>
      </w:pPr>
      <w:bookmarkStart w:colFirst="0" w:colLast="0" w:name="_heading=h.lnxbz9" w:id="13"/>
      <w:bookmarkEnd w:id="13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DC">
      <w:pPr>
        <w:pStyle w:val="Heading2"/>
        <w:bidi w:val="1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bidi w:val="1"/>
              <w:jc w:val="both"/>
              <w:rPr>
                <w:shd w:fill="dbe5f1" w:val="clear"/>
              </w:rPr>
            </w:pPr>
            <w:r w:rsidDel="00000000" w:rsidR="00000000" w:rsidRPr="00000000">
              <w:rPr>
                <w:shd w:fill="dbe5f1" w:val="clear"/>
                <w:rtl w:val="1"/>
              </w:rPr>
              <w:t xml:space="preserve">د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.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خالد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عبدالمجيد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،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العقود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المسماة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في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المملكة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العربية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السعودية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: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البيع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-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الإيجار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،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دار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الكتاب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الجامعي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،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الطبعة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الأولى</w:t>
            </w:r>
            <w:r w:rsidDel="00000000" w:rsidR="00000000" w:rsidRPr="00000000">
              <w:rPr>
                <w:shd w:fill="dbe5f1" w:val="clear"/>
                <w:rtl w:val="1"/>
              </w:rPr>
              <w:t xml:space="preserve"> 2019.</w:t>
            </w:r>
          </w:p>
          <w:p w:rsidR="00000000" w:rsidDel="00000000" w:rsidP="00000000" w:rsidRDefault="00000000" w:rsidRPr="00000000" w14:paraId="000001DF">
            <w:pPr>
              <w:bidi w:val="1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عبدالرزاق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السنهوري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الوسيط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</w:t>
            </w:r>
            <w:r w:rsidDel="00000000" w:rsidR="00000000" w:rsidRPr="00000000">
              <w:rPr>
                <w:rtl w:val="1"/>
              </w:rPr>
              <w:t xml:space="preserve"> -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إحياء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التراث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بيروت</w:t>
            </w:r>
            <w:r w:rsidDel="00000000" w:rsidR="00000000" w:rsidRPr="00000000">
              <w:rPr>
                <w:rtl w:val="1"/>
              </w:rPr>
              <w:t xml:space="preserve">-1997.</w:t>
            </w:r>
          </w:p>
          <w:p w:rsidR="00000000" w:rsidDel="00000000" w:rsidP="00000000" w:rsidRDefault="00000000" w:rsidRPr="00000000" w14:paraId="000001E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كتاب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أحمد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القادري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النهضة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1-1992.</w:t>
            </w:r>
          </w:p>
          <w:p w:rsidR="00000000" w:rsidDel="00000000" w:rsidP="00000000" w:rsidRDefault="00000000" w:rsidRPr="00000000" w14:paraId="000001E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ناجي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ياقوت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المسماة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المنصورة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ط</w:t>
            </w:r>
            <w:r w:rsidDel="00000000" w:rsidR="00000000" w:rsidRPr="00000000">
              <w:rPr>
                <w:rtl w:val="1"/>
              </w:rPr>
              <w:t xml:space="preserve">1-2000.</w:t>
            </w:r>
          </w:p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E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pStyle w:val="Heading2"/>
        <w:bidi w:val="1"/>
        <w:rPr>
          <w:sz w:val="14"/>
          <w:szCs w:val="14"/>
        </w:rPr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Style w:val="Heading2"/>
        <w:bidi w:val="1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EF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F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تتوفر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مجهزة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بالانترنت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بالاضافة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أجهزة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كمبيوتر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أكثر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بالسمارت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والبروجكترات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</w:tr>
    </w:tbl>
    <w:p w:rsidR="00000000" w:rsidDel="00000000" w:rsidP="00000000" w:rsidRDefault="00000000" w:rsidRPr="00000000" w14:paraId="000001F6">
      <w:pPr>
        <w:pStyle w:val="Heading1"/>
        <w:bidi w:val="1"/>
        <w:rPr>
          <w:sz w:val="18"/>
          <w:szCs w:val="18"/>
        </w:rPr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both"/>
              <w:rPr/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0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1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1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bidi w:val="1"/>
        <w:rPr>
          <w:color w:val="c00000"/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bidi w:val="1"/>
        <w:rPr>
          <w:b w:val="1"/>
          <w:sz w:val="20"/>
          <w:szCs w:val="20"/>
        </w:rPr>
      </w:pPr>
      <w:bookmarkStart w:colFirst="0" w:colLast="0" w:name="_heading=h.4i7ojhp" w:id="21"/>
      <w:bookmarkEnd w:id="21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Style w:val="Heading1"/>
        <w:bidi w:val="1"/>
        <w:rPr/>
      </w:pPr>
      <w:bookmarkStart w:colFirst="0" w:colLast="0" w:name="_heading=h.2xcytpi" w:id="22"/>
      <w:bookmarkEnd w:id="22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840"/>
        <w:gridCol w:w="7731"/>
        <w:tblGridChange w:id="0">
          <w:tblGrid>
            <w:gridCol w:w="1840"/>
            <w:gridCol w:w="7731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6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28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29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  <w:p w:rsidR="00000000" w:rsidDel="00000000" w:rsidP="00000000" w:rsidRDefault="00000000" w:rsidRPr="00000000" w14:paraId="0000022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2C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2D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2F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qLFa5kyRqP8IXU9HrkCi1dmqCw==">AMUW2mX3/qJNJ9NU7RxOxn4bBZOXSD4pubYyAUJRRYzhWSzGKwGOunYPsvf6EeWoiFSeqwd18IZIW0hMLbM1fBO6zukR6R66rj7cndFsmXdFggJAnu7s5jXTqiFaPprjfy3pXPymqlVhsz1A8M1jlMAzGAYyS8Xe690HH9D3Uhy9U+HcINS1TYwLH+rY2YPPK92ZnRKWlTXuaDfYqe3Cy6GPyd9oKkU7ouzHFBQFVtJ9WiUCswqxApeiVzPr1SlUimetOF70LCPozf+Rw8oFqGTAdmfp0CnnuSWfwCdf488SIL6UiWdPm9e7E7Jqz9FtaaP84agos5/QivGr4zOEmamCjJNeeRRNCO/b414FVN55f6I/IeXvpN1Z1lhEnnTo9CKUKtiscLBRbhCxFakc0D58zf7hIQYKiivnWU60p3sttPlf4awTY4Og9FFcOIFakKp/cgW0Ix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2021-10-16T12:54:00Z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