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617"/>
        <w:gridCol w:w="6954"/>
        <w:tblGridChange w:id="0">
          <w:tblGrid>
            <w:gridCol w:w="2617"/>
            <w:gridCol w:w="6954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الالتزام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111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bidi w:val="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59"/>
        <w:gridCol w:w="698"/>
        <w:gridCol w:w="863"/>
        <w:gridCol w:w="48"/>
        <w:gridCol w:w="199"/>
        <w:gridCol w:w="169"/>
        <w:gridCol w:w="263"/>
        <w:gridCol w:w="502"/>
        <w:gridCol w:w="390"/>
        <w:gridCol w:w="682"/>
        <w:gridCol w:w="391"/>
        <w:gridCol w:w="194"/>
        <w:gridCol w:w="375"/>
        <w:gridCol w:w="315"/>
        <w:gridCol w:w="1978"/>
        <w:gridCol w:w="263"/>
        <w:gridCol w:w="1782"/>
        <w:tblGridChange w:id="0">
          <w:tblGrid>
            <w:gridCol w:w="459"/>
            <w:gridCol w:w="698"/>
            <w:gridCol w:w="863"/>
            <w:gridCol w:w="48"/>
            <w:gridCol w:w="199"/>
            <w:gridCol w:w="169"/>
            <w:gridCol w:w="263"/>
            <w:gridCol w:w="502"/>
            <w:gridCol w:w="390"/>
            <w:gridCol w:w="682"/>
            <w:gridCol w:w="391"/>
            <w:gridCol w:w="194"/>
            <w:gridCol w:w="375"/>
            <w:gridCol w:w="315"/>
            <w:gridCol w:w="1978"/>
            <w:gridCol w:w="263"/>
            <w:gridCol w:w="178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        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.999999999998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LAW101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bidi w:val="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F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اختلاف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أنواعها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فيتناول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شمولي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الإرادية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والإرادة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المنفردة</w:t>
            </w:r>
            <w:r w:rsidDel="00000000" w:rsidR="00000000" w:rsidRPr="00000000">
              <w:rPr>
                <w:rtl w:val="1"/>
              </w:rPr>
              <w:t xml:space="preserve">)،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الإرادية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الإثراء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سبب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التقصيرية</w:t>
            </w:r>
            <w:r w:rsidDel="00000000" w:rsidR="00000000" w:rsidRPr="00000000">
              <w:rPr>
                <w:rtl w:val="1"/>
              </w:rPr>
              <w:t xml:space="preserve">). </w:t>
            </w:r>
          </w:p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</w:t>
            </w:r>
            <w:r w:rsidDel="00000000" w:rsidR="00000000" w:rsidRPr="00000000">
              <w:rPr>
                <w:rtl w:val="1"/>
              </w:rPr>
              <w:t xml:space="preserve">بإنهاء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يكتسب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: 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نظرية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الإرادية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والغير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إرادية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الإرادة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المنفردة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المسؤولية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التقصيرية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والإثراء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D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pStyle w:val="Heading2"/>
        <w:bidi w:val="1"/>
        <w:rPr/>
      </w:pPr>
      <w:bookmarkStart w:colFirst="0" w:colLast="0" w:name="_heading=h.3dy6vkm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٢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ومتطلباته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وأركانه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٣،١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وتفسير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بالالتزامات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٤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يصنف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٥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يبرهن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bidi w:val="1"/>
        <w:rPr/>
      </w:pPr>
      <w:bookmarkStart w:colFirst="0" w:colLast="0" w:name="_heading=h.1t3h5sf" w:id="5"/>
      <w:bookmarkEnd w:id="5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التعريف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بنظرية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الالتزام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مصادر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الالتزام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الإرادية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العقد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مفهومه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أركانه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الإرادة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المنفردة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مصادر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الالتزام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الغير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إرادية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الفعل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الضار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المسؤولية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التقصيرية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الفعل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النافع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الإثراء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بلا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سبب</w:t>
            </w:r>
            <w:r w:rsidDel="00000000" w:rsidR="00000000" w:rsidRPr="00000000">
              <w:rPr>
                <w:color w:val="000000"/>
                <w:rtl w:val="1"/>
              </w:rPr>
              <w:t xml:space="preserve">)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التعريف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بنظرية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الالتزام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51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Style w:val="Heading1"/>
        <w:bidi w:val="1"/>
        <w:rPr/>
      </w:pPr>
      <w:bookmarkStart w:colFirst="0" w:colLast="0" w:name="_heading=h.4d34og8" w:id="6"/>
      <w:bookmarkEnd w:id="6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53">
      <w:pPr>
        <w:pStyle w:val="Heading2"/>
        <w:bidi w:val="1"/>
        <w:rPr/>
      </w:pPr>
      <w:bookmarkStart w:colFirst="0" w:colLast="0" w:name="_heading=h.2s8eyo1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6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ومتطلباته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وأركانه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6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6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البحث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وتفسير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بالالتزامات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E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محاضرات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F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0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تحليل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قضية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يصنف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محاضرات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4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5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البحث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يبرهن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المناظرات</w:t>
            </w:r>
          </w:p>
          <w:p w:rsidR="00000000" w:rsidDel="00000000" w:rsidP="00000000" w:rsidRDefault="00000000" w:rsidRPr="00000000" w14:paraId="0000018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الملاحظة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والتقييم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pStyle w:val="Heading2"/>
        <w:bidi w:val="1"/>
        <w:rPr/>
      </w:pPr>
      <w:bookmarkStart w:colFirst="0" w:colLast="0" w:name="_heading=h.17dp8vu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67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5760"/>
        <w:gridCol w:w="1410"/>
        <w:gridCol w:w="1977.0000000000002"/>
        <w:tblGridChange w:id="0">
          <w:tblGrid>
            <w:gridCol w:w="420"/>
            <w:gridCol w:w="5760"/>
            <w:gridCol w:w="1410"/>
            <w:gridCol w:w="1977.00000000000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9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B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B5">
      <w:pPr>
        <w:pStyle w:val="Heading1"/>
        <w:bidi w:val="1"/>
        <w:rPr/>
      </w:pPr>
      <w:bookmarkStart w:colFirst="0" w:colLast="0" w:name="_heading=h.3rdcrj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يقوم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تواجده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علما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لتواجد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يخضعون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لإشراف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أيضا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Style w:val="Heading1"/>
        <w:bidi w:val="1"/>
        <w:rPr/>
      </w:pPr>
      <w:bookmarkStart w:colFirst="0" w:colLast="0" w:name="_heading=h.26in1rg" w:id="10"/>
      <w:bookmarkEnd w:id="10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1BA">
      <w:pPr>
        <w:pStyle w:val="Heading2"/>
        <w:bidi w:val="1"/>
        <w:rPr/>
      </w:pPr>
      <w:bookmarkStart w:colFirst="0" w:colLast="0" w:name="_heading=h.lnxbz9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bidi w:val="1"/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بلحاج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ضوء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والاجتهادات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والفرنسية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الثقافة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والتوزيع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عمان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الأدرن</w:t>
            </w:r>
            <w:r w:rsidDel="00000000" w:rsidR="00000000" w:rsidRPr="00000000">
              <w:rPr>
                <w:rtl w:val="1"/>
              </w:rPr>
              <w:t xml:space="preserve"> 2017.</w:t>
            </w:r>
          </w:p>
          <w:p w:rsidR="00000000" w:rsidDel="00000000" w:rsidP="00000000" w:rsidRDefault="00000000" w:rsidRPr="00000000" w14:paraId="000001BD">
            <w:pPr>
              <w:bidi w:val="1"/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الزقرد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أشرف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عبدالقادر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الوجيز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المعاملات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الكتاب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مكتبة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الرشد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الرياض</w:t>
            </w:r>
            <w:r w:rsidDel="00000000" w:rsidR="00000000" w:rsidRPr="00000000">
              <w:rPr>
                <w:rtl w:val="1"/>
              </w:rPr>
              <w:t xml:space="preserve">، 2013. </w:t>
            </w:r>
          </w:p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spacing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عبدالرزاق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السنهوري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الوسيط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1- </w:t>
            </w:r>
            <w:r w:rsidDel="00000000" w:rsidR="00000000" w:rsidRPr="00000000">
              <w:rPr>
                <w:rtl w:val="1"/>
              </w:rPr>
              <w:t xml:space="preserve">منشورات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الحلبي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لبنان</w:t>
            </w:r>
            <w:r w:rsidDel="00000000" w:rsidR="00000000" w:rsidRPr="00000000">
              <w:rPr>
                <w:rtl w:val="1"/>
              </w:rPr>
              <w:t xml:space="preserve">-2000</w:t>
            </w:r>
            <w:r w:rsidDel="00000000" w:rsidR="00000000" w:rsidRPr="00000000">
              <w:rPr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1">
            <w:pPr>
              <w:bidi w:val="1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عبدالحي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حجازي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للالتزام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3- </w:t>
            </w:r>
            <w:r w:rsidDel="00000000" w:rsidR="00000000" w:rsidRPr="00000000">
              <w:rPr>
                <w:rtl w:val="1"/>
              </w:rPr>
              <w:t xml:space="preserve">احكام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نهضة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1"/>
              </w:rPr>
              <w:t xml:space="preserve">- 1954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2"/>
        <w:bidi w:val="1"/>
        <w:rPr/>
      </w:pPr>
      <w:bookmarkStart w:colFirst="0" w:colLast="0" w:name="_heading=h.1ksv4uv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أجهزة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المرئي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تجهيز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الفصول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بالسمارت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بورد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والبروجكورات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pStyle w:val="Heading1"/>
        <w:bidi w:val="1"/>
        <w:rPr>
          <w:sz w:val="18"/>
          <w:szCs w:val="18"/>
        </w:rPr>
      </w:pPr>
      <w:bookmarkStart w:colFirst="0" w:colLast="0" w:name="_heading=h.44sini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/>
            </w:pPr>
            <w:bookmarkStart w:colFirst="0" w:colLast="0" w:name="_heading=h.2jxsxqh" w:id="14"/>
            <w:bookmarkEnd w:id="14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bidi w:val="1"/>
              <w:rPr/>
            </w:pPr>
            <w:bookmarkStart w:colFirst="0" w:colLast="0" w:name="_heading=h.z337ya" w:id="15"/>
            <w:bookmarkEnd w:id="15"/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D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الحضور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عضو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1D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E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</w:p>
          <w:p w:rsidR="00000000" w:rsidDel="00000000" w:rsidP="00000000" w:rsidRDefault="00000000" w:rsidRPr="00000000" w14:paraId="000001E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تحصيل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1E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</w:p>
          <w:p w:rsidR="00000000" w:rsidDel="00000000" w:rsidP="00000000" w:rsidRDefault="00000000" w:rsidRPr="00000000" w14:paraId="000001E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إحصائية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الخروج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1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الحضور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عضو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1F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</w:p>
          <w:p w:rsidR="00000000" w:rsidDel="00000000" w:rsidP="00000000" w:rsidRDefault="00000000" w:rsidRPr="00000000" w14:paraId="000001F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bidi w:val="1"/>
        <w:rPr>
          <w:color w:val="c00000"/>
          <w:sz w:val="20"/>
          <w:szCs w:val="20"/>
        </w:rPr>
      </w:pPr>
      <w:bookmarkStart w:colFirst="0" w:colLast="0" w:name="_heading=h.3j2qqm3" w:id="16"/>
      <w:bookmarkEnd w:id="16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rPr>
          <w:sz w:val="20"/>
          <w:szCs w:val="20"/>
        </w:rPr>
      </w:pPr>
      <w:bookmarkStart w:colFirst="0" w:colLast="0" w:name="_heading=h.1y810tw" w:id="17"/>
      <w:bookmarkEnd w:id="17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02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Style w:val="Heading1"/>
        <w:bidi w:val="1"/>
        <w:rPr/>
      </w:pPr>
      <w:bookmarkStart w:colFirst="0" w:colLast="0" w:name="_heading=h.4i7ojhp" w:id="18"/>
      <w:bookmarkEnd w:id="18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4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840"/>
        <w:gridCol w:w="7731"/>
        <w:tblGridChange w:id="0">
          <w:tblGrid>
            <w:gridCol w:w="1840"/>
            <w:gridCol w:w="7731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07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08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0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0E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283B54"/>
    <w:pPr>
      <w:keepNext w:val="1"/>
      <w:bidi w:val="1"/>
      <w:outlineLvl w:val="0"/>
    </w:pPr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283B54"/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QPd14/ZYtQg81LhTbCN3znv9w==">AMUW2mXfzow1t9F/WeIX6eJznGimbla0nq4skQbjim9EqbJ7P07urp3zz12rbEuHNSRadv1/qiZuwwxhUpeB2q27wVqX1de7fB586jEUZ3CAPHogdJzXVLc0oGgfpB130n6g3LvBmwWsLSuiyRWIW6X9Jb8WK5aZNt35BjRuKpDAM1G+qiz0ZP1YJSKwI8vynlOlUQ/4NcHZmpSQENqz36ypKqWbUA5GKVcBDgPiJKS2Hu6vgZfvbj8NJZS6k5EOwqdgi8ANU9JPmm4GF5oRWqQt89BP1R/T/eOu5FbnHMWSin5qnr/Rl3XyHIYJX0NVi147jGWCbZi6yBruffzVZyaJgDbxY2P5CVgP/JbZZi8Z5mcDwTTPNEVxSjv4lawpJlggY8HrJd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2021-10-16T12:54:00Z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