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الاداري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III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359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tl w:val="0"/>
              </w:rPr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tl w:val="0"/>
              </w:rPr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26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00"/>
        <w:gridCol w:w="2445"/>
        <w:gridCol w:w="4721"/>
        <w:tblGridChange w:id="0">
          <w:tblGrid>
            <w:gridCol w:w="2100"/>
            <w:gridCol w:w="2445"/>
            <w:gridCol w:w="472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tbl>
            <w:tblPr>
              <w:tblStyle w:val="Table3"/>
              <w:bidiVisual w:val="1"/>
              <w:tblW w:w="9364.999999999998" w:type="dxa"/>
              <w:jc w:val="center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379"/>
              <w:gridCol w:w="603"/>
              <w:gridCol w:w="757"/>
              <w:gridCol w:w="222"/>
              <w:gridCol w:w="107"/>
              <w:gridCol w:w="534"/>
              <w:gridCol w:w="379"/>
              <w:gridCol w:w="534"/>
              <w:gridCol w:w="589"/>
              <w:gridCol w:w="222"/>
              <w:gridCol w:w="883"/>
              <w:gridCol w:w="534"/>
              <w:gridCol w:w="1805"/>
              <w:gridCol w:w="222"/>
              <w:gridCol w:w="1595"/>
              <w:tblGridChange w:id="0">
                <w:tblGrid>
                  <w:gridCol w:w="379"/>
                  <w:gridCol w:w="603"/>
                  <w:gridCol w:w="757"/>
                  <w:gridCol w:w="222"/>
                  <w:gridCol w:w="107"/>
                  <w:gridCol w:w="534"/>
                  <w:gridCol w:w="379"/>
                  <w:gridCol w:w="534"/>
                  <w:gridCol w:w="589"/>
                  <w:gridCol w:w="222"/>
                  <w:gridCol w:w="883"/>
                  <w:gridCol w:w="534"/>
                  <w:gridCol w:w="1805"/>
                  <w:gridCol w:w="222"/>
                  <w:gridCol w:w="1595"/>
                </w:tblGrid>
              </w:tblGridChange>
            </w:tblGrid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جامعة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كلية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قسم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jc w:val="right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أخرى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8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إجباري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اختياري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150</w:t>
            </w:r>
          </w:p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8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9C">
      <w:pPr>
        <w:pStyle w:val="Heading1"/>
        <w:rPr>
          <w:i w:val="0"/>
          <w:color w:val="273444"/>
          <w:u w:val="no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rPr/>
      </w:pPr>
      <w:bookmarkStart w:colFirst="0" w:colLast="0" w:name="_heading=h.gzy31t1ckm1k" w:id="4"/>
      <w:bookmarkEnd w:id="4"/>
      <w:r w:rsidDel="00000000" w:rsidR="00000000" w:rsidRPr="00000000">
        <w:rPr>
          <w:i w:val="0"/>
          <w:color w:val="273444"/>
          <w:u w:val="none"/>
          <w:rtl w:val="1"/>
        </w:rPr>
        <w:t xml:space="preserve">ب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- 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هدف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 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المقرر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 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ومخرجاته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 </w:t>
      </w:r>
      <w:r w:rsidDel="00000000" w:rsidR="00000000" w:rsidRPr="00000000">
        <w:rPr>
          <w:i w:val="0"/>
          <w:color w:val="273444"/>
          <w:u w:val="none"/>
          <w:rtl w:val="1"/>
        </w:rPr>
        <w:t xml:space="preserve">التعليمية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تدريسه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النجاح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1،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يركز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المنازعات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الجهات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إحدى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والإدارات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والهيئات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للدولة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ويشرح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المشروعية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والرقابة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السلطة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الدعاوى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المنظورة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بإنهاء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هذه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الثلاثة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يكتسب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مهارات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والنقد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والتعليق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يغطي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المشروعية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السلطة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تطور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3-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4-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الدعاوي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5-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الصادرة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8">
      <w:pPr>
        <w:pStyle w:val="Heading2"/>
        <w:bidi w:val="1"/>
        <w:rPr/>
      </w:pPr>
      <w:bookmarkStart w:colFirst="0" w:colLast="0" w:name="_heading=h.3dy6vkm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7"/>
        <w:bidiVisual w:val="1"/>
        <w:tblW w:w="9571.0" w:type="dxa"/>
        <w:jc w:val="left"/>
        <w:tblInd w:w="-7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AE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AF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B1">
            <w:pPr>
              <w:bidi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يتعرف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المظالم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1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B6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B7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يقارن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ويميز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ويحلل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العملية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يقدم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حجج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صحيحة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حرير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ورفع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إلغاء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المظالم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0C4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6</w:t>
            </w:r>
          </w:p>
          <w:p w:rsidR="00000000" w:rsidDel="00000000" w:rsidP="00000000" w:rsidRDefault="00000000" w:rsidRPr="00000000" w14:paraId="000000C5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C7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C8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تعزيز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روح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باحترام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1"/>
        <w:bidi w:val="1"/>
        <w:rPr>
          <w:b w:val="1"/>
          <w:i w:val="1"/>
          <w:color w:val="ff0000"/>
          <w:u w:val="single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موضوعات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5580"/>
        <w:tblGridChange w:id="0">
          <w:tblGrid>
            <w:gridCol w:w="4253"/>
            <w:gridCol w:w="5580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keepNext w:val="1"/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keepNext w:val="1"/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الاتصال</w:t>
            </w:r>
          </w:p>
        </w:tc>
      </w:tr>
    </w:tbl>
    <w:p w:rsidR="00000000" w:rsidDel="00000000" w:rsidP="00000000" w:rsidRDefault="00000000" w:rsidRPr="00000000" w14:paraId="000000D9">
      <w:pPr>
        <w:keepNext w:val="1"/>
        <w:bidi w:val="1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802.0" w:type="dxa"/>
        <w:jc w:val="left"/>
        <w:tblInd w:w="-2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4"/>
        <w:gridCol w:w="5568"/>
        <w:tblGridChange w:id="0">
          <w:tblGrid>
            <w:gridCol w:w="4234"/>
            <w:gridCol w:w="5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والخصائص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لمبدأ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المشروعية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استثناءات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قيود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المشروعية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الرقابة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السلطة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التنفيذية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اختصاص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المظالم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كجهة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ظل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1402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1428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bidi w:val="1"/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الاختلاف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الفرنسي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والاختلاف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المظالم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ووالي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المظالم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bidi w:val="1"/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المنازعات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يختص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المظالم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تصنيف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الدعاوى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إلغاء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التعويض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التأديبية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bidi w:val="1"/>
              <w:spacing w:after="200" w:line="3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الابحاث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spacing w:after="200"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1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>
          <w:u w:val="none"/>
        </w:rPr>
      </w:pPr>
      <w:bookmarkStart w:colFirst="0" w:colLast="0" w:name="_heading=h.1t3h5sf" w:id="6"/>
      <w:bookmarkEnd w:id="6"/>
      <w:r w:rsidDel="00000000" w:rsidR="00000000" w:rsidRPr="00000000">
        <w:rPr>
          <w:i w:val="0"/>
          <w:u w:val="none"/>
          <w:rtl w:val="1"/>
        </w:rPr>
        <w:t xml:space="preserve">د</w:t>
      </w:r>
      <w:r w:rsidDel="00000000" w:rsidR="00000000" w:rsidRPr="00000000">
        <w:rPr>
          <w:i w:val="0"/>
          <w:u w:val="none"/>
          <w:rtl w:val="1"/>
        </w:rPr>
        <w:t xml:space="preserve">. </w:t>
      </w:r>
      <w:r w:rsidDel="00000000" w:rsidR="00000000" w:rsidRPr="00000000">
        <w:rPr>
          <w:i w:val="0"/>
          <w:u w:val="none"/>
          <w:rtl w:val="1"/>
        </w:rPr>
        <w:t xml:space="preserve">التدريس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والتقييم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F5">
      <w:pPr>
        <w:pStyle w:val="Heading2"/>
        <w:bidi w:val="1"/>
        <w:rPr/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0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F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المظالم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D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ويميز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والقضاء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العادي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10E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1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17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ويحلل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1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jc w:val="both"/>
              <w:rPr>
                <w:color w:val="ff0000"/>
              </w:rPr>
            </w:pPr>
            <w:r w:rsidDel="00000000" w:rsidR="00000000" w:rsidRPr="00000000">
              <w:rPr>
                <w:rtl w:val="1"/>
              </w:rPr>
              <w:t xml:space="preserve">يقدم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حجج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صحیحة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إلغاء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المظالم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2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2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  <w:p w:rsidR="00000000" w:rsidDel="00000000" w:rsidP="00000000" w:rsidRDefault="00000000" w:rsidRPr="00000000" w14:paraId="0000012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2C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3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3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</w:tc>
      </w:tr>
    </w:tbl>
    <w:p w:rsidR="00000000" w:rsidDel="00000000" w:rsidP="00000000" w:rsidRDefault="00000000" w:rsidRPr="00000000" w14:paraId="0000013D">
      <w:pPr>
        <w:pStyle w:val="Heading2"/>
        <w:bidi w:val="1"/>
        <w:rPr/>
      </w:pPr>
      <w:bookmarkStart w:colFirst="0" w:colLast="0" w:name="_heading=h.2s8eyo1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1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54.0000000000005"/>
        <w:gridCol w:w="2045.9999999999995"/>
        <w:tblGridChange w:id="0">
          <w:tblGrid>
            <w:gridCol w:w="421"/>
            <w:gridCol w:w="5555"/>
            <w:gridCol w:w="1554.0000000000005"/>
            <w:gridCol w:w="2045.9999999999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5D">
      <w:pPr>
        <w:pStyle w:val="Heading1"/>
        <w:rPr/>
      </w:pPr>
      <w:bookmarkStart w:colFirst="0" w:colLast="0" w:name="_heading=h.17dp8v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1"/>
        <w:rPr/>
      </w:pPr>
      <w:r w:rsidDel="00000000" w:rsidR="00000000" w:rsidRPr="00000000">
        <w:rPr>
          <w:i w:val="0"/>
          <w:u w:val="none"/>
          <w:rtl w:val="1"/>
        </w:rPr>
        <w:t xml:space="preserve">هـ</w:t>
      </w:r>
      <w:r w:rsidDel="00000000" w:rsidR="00000000" w:rsidRPr="00000000">
        <w:rPr>
          <w:i w:val="0"/>
          <w:u w:val="none"/>
          <w:rtl w:val="1"/>
        </w:rPr>
        <w:t xml:space="preserve"> - </w:t>
      </w:r>
      <w:r w:rsidDel="00000000" w:rsidR="00000000" w:rsidRPr="00000000">
        <w:rPr>
          <w:i w:val="0"/>
          <w:u w:val="none"/>
          <w:rtl w:val="1"/>
        </w:rPr>
        <w:t xml:space="preserve">أنشطة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الإرشاد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الأكاديمي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والدعم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2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للطلاب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60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1"/>
        <w:rPr>
          <w:i w:val="0"/>
          <w:u w:val="none"/>
        </w:rPr>
      </w:pPr>
      <w:bookmarkStart w:colFirst="0" w:colLast="0" w:name="_heading=h.3rdcrjn" w:id="10"/>
      <w:bookmarkEnd w:id="10"/>
      <w:r w:rsidDel="00000000" w:rsidR="00000000" w:rsidRPr="00000000">
        <w:rPr>
          <w:i w:val="0"/>
          <w:u w:val="none"/>
          <w:rtl w:val="1"/>
        </w:rPr>
        <w:t xml:space="preserve">و</w:t>
      </w:r>
      <w:r w:rsidDel="00000000" w:rsidR="00000000" w:rsidRPr="00000000">
        <w:rPr>
          <w:i w:val="0"/>
          <w:u w:val="none"/>
          <w:rtl w:val="1"/>
        </w:rPr>
        <w:t xml:space="preserve"> – </w:t>
      </w:r>
      <w:r w:rsidDel="00000000" w:rsidR="00000000" w:rsidRPr="00000000">
        <w:rPr>
          <w:i w:val="0"/>
          <w:u w:val="none"/>
          <w:rtl w:val="1"/>
        </w:rPr>
        <w:t xml:space="preserve">مصادر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التعلم</w:t>
      </w:r>
      <w:r w:rsidDel="00000000" w:rsidR="00000000" w:rsidRPr="00000000">
        <w:rPr>
          <w:i w:val="0"/>
          <w:u w:val="none"/>
          <w:rtl w:val="1"/>
        </w:rPr>
        <w:t xml:space="preserve"> </w:t>
      </w:r>
      <w:r w:rsidDel="00000000" w:rsidR="00000000" w:rsidRPr="00000000">
        <w:rPr>
          <w:i w:val="0"/>
          <w:u w:val="none"/>
          <w:rtl w:val="1"/>
        </w:rPr>
        <w:t xml:space="preserve">والمرافق</w:t>
      </w:r>
      <w:r w:rsidDel="00000000" w:rsidR="00000000" w:rsidRPr="00000000">
        <w:rPr>
          <w:i w:val="0"/>
          <w:u w:val="none"/>
          <w:rtl w:val="0"/>
        </w:rPr>
        <w:t xml:space="preserve">: </w:t>
      </w:r>
    </w:p>
    <w:p w:rsidR="00000000" w:rsidDel="00000000" w:rsidP="00000000" w:rsidRDefault="00000000" w:rsidRPr="00000000" w14:paraId="00000162">
      <w:pPr>
        <w:pStyle w:val="Heading2"/>
        <w:bidi w:val="1"/>
        <w:rPr/>
      </w:pPr>
      <w:bookmarkStart w:colFirst="0" w:colLast="0" w:name="_heading=h.26in1rg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حمدي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العجمي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ذنيبات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الوسيط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مقارنة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الاجادة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للنشر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2021. 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المجلات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9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أستاذ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يحتوي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كافة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النظامية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A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مودل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الامير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سلطان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مكتبة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قاعدة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مختلفة</w:t>
            </w:r>
          </w:p>
          <w:p w:rsidR="00000000" w:rsidDel="00000000" w:rsidP="00000000" w:rsidRDefault="00000000" w:rsidRPr="00000000" w14:paraId="0000016C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http://www.moj.gov.sa/mdona_moj/default.aspx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لديوان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المظالم</w:t>
            </w:r>
          </w:p>
          <w:p w:rsidR="00000000" w:rsidDel="00000000" w:rsidP="00000000" w:rsidRDefault="00000000" w:rsidRPr="00000000" w14:paraId="0000016F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https://www.bog.gov.sa/Pages/default.aspx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الخبراء</w:t>
            </w:r>
          </w:p>
          <w:p w:rsidR="00000000" w:rsidDel="00000000" w:rsidP="00000000" w:rsidRDefault="00000000" w:rsidRPr="00000000" w14:paraId="00000172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https://www.boe.gov.sa/ar/Pages/default.aspx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مدونة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75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http://www.moj.gov.sa/Default.aspx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http://www.cojss.com/article.php?a=295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مركز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B">
            <w:pPr>
              <w:bidi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http://www.saudi.gov.sa/wps/portal/espp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C">
            <w:pPr>
              <w:bidi w:val="1"/>
              <w:jc w:val="both"/>
              <w:rPr>
                <w:rFonts w:ascii="Times New Roman" w:cs="Times New Roman" w:eastAsia="Times New Roman" w:hAnsi="Times New Roman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اللوائح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غيرها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0">
      <w:pPr>
        <w:pStyle w:val="Heading2"/>
        <w:bidi w:val="1"/>
        <w:rPr>
          <w:sz w:val="14"/>
          <w:szCs w:val="14"/>
        </w:rPr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2"/>
        <w:bidi w:val="1"/>
        <w:rPr/>
      </w:pPr>
      <w:bookmarkStart w:colFirst="0" w:colLast="0" w:name="_heading=h.35nkun2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4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قاعة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المحاضرا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pStyle w:val="Heading1"/>
        <w:rPr/>
      </w:pPr>
      <w:bookmarkStart w:colFirst="0" w:colLast="0" w:name="_heading=h.1ksv4u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1"/>
        <w:rPr>
          <w:rFonts w:ascii="Times New Roman" w:cs="Times New Roman" w:eastAsia="Times New Roman" w:hAnsi="Times New Roman"/>
          <w:i w:val="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none"/>
          <w:rtl w:val="0"/>
        </w:rPr>
        <w:t xml:space="preserve">:</w:t>
      </w:r>
    </w:p>
    <w:tbl>
      <w:tblPr>
        <w:tblStyle w:val="Table15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bookmarkStart w:colFirst="0" w:colLast="0" w:name="_heading=h.44sinio" w:id="15"/>
            <w:bookmarkEnd w:id="15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bookmarkStart w:colFirst="0" w:colLast="0" w:name="_heading=h.2jxsxqh" w:id="16"/>
            <w:bookmarkEnd w:id="16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9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bidi w:val="1"/>
        <w:rPr>
          <w:color w:val="c00000"/>
          <w:sz w:val="20"/>
          <w:szCs w:val="20"/>
        </w:rPr>
      </w:pPr>
      <w:bookmarkStart w:colFirst="0" w:colLast="0" w:name="_heading=h.z337ya" w:id="17"/>
      <w:bookmarkEnd w:id="17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rPr>
          <w:sz w:val="20"/>
          <w:szCs w:val="20"/>
        </w:rPr>
      </w:pPr>
      <w:bookmarkStart w:colFirst="0" w:colLast="0" w:name="_heading=h.3j2qqm3" w:id="18"/>
      <w:bookmarkEnd w:id="18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B4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Style w:val="Heading1"/>
        <w:rPr/>
      </w:pPr>
      <w:bookmarkStart w:colFirst="0" w:colLast="0" w:name="_heading=h.1y810tw" w:id="19"/>
      <w:bookmarkEnd w:id="19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6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spacing w:before="24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1B9">
            <w:pPr>
              <w:bidi w:val="1"/>
              <w:spacing w:before="24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1BA">
            <w:pPr>
              <w:bidi w:val="1"/>
              <w:spacing w:before="24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spacing w:before="24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spacing w:before="24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1C0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first"/>
      <w:footerReference r:id="rId14" w:type="default"/>
      <w:footerReference r:id="rId15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i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i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4A7F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EA785A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i w:val="1"/>
      <w:iCs w:val="1"/>
      <w:sz w:val="22"/>
      <w:szCs w:val="22"/>
      <w:u w:val="single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EA785A"/>
    <w:rPr>
      <w:rFonts w:ascii="Arial" w:cs="Arial" w:hAnsi="Arial"/>
      <w:b w:val="1"/>
      <w:bCs w:val="1"/>
      <w:i w:val="1"/>
      <w:iCs w:val="1"/>
      <w:sz w:val="22"/>
      <w:szCs w:val="22"/>
      <w:u w:val="single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6D6E"/>
    <w:rPr>
      <w:color w:val="605e5c"/>
      <w:shd w:color="auto" w:fill="e1dfdd" w:val="clear"/>
    </w:rPr>
  </w:style>
  <w:style w:type="table" w:styleId="TableGrid1" w:customStyle="1">
    <w:name w:val="Table Grid1"/>
    <w:basedOn w:val="TableNormal"/>
    <w:next w:val="TableGrid"/>
    <w:uiPriority w:val="59"/>
    <w:rsid w:val="00805BEF"/>
    <w:rPr>
      <w:rFonts w:ascii="Calibri" w:cs="Arial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jss.com/article.php?a=295" TargetMode="External"/><Relationship Id="rId10" Type="http://schemas.openxmlformats.org/officeDocument/2006/relationships/hyperlink" Target="http://www.moj.gov.sa/Default.aspx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saudi.gov.sa/wps/portal/esp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e.gov.sa/ar/Pages/default.aspx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j.gov.sa/mdona_moj/default.aspx" TargetMode="External"/><Relationship Id="rId8" Type="http://schemas.openxmlformats.org/officeDocument/2006/relationships/hyperlink" Target="https://www.bog.gov.sa/Pages/default.aspx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GaInQhNvSkFOkHCTGecRxXd8w==">AMUW2mWivjM+yxD8DrFfcFPYj/OZmQA4g/mWrbITjzf6xCkgisx8NWzicyakIKeUHp0DvvIjp5/h2uHvBVgejepFx8pGNa9CpyExj5gA1B8GS+2vCT5k7NQBQYfmCVZPvhfAdEQ2jgBhsTWcN3Txy7UjLW0SGQ/s2PHy2/5SFozM+SbumvGU7RbQJkapcBFdG1Z8CYcGD1iUOhG7bRNgZ5vJLRNhWlD+vLED0/oPD2D993ioHpOhjYc3eA9prCuWaimLwekZ4RL0INoNmaE/GqbIA2CNuJXYN0rHCPQA4uuCw16YOZ6wt7yw7HxQfwLczuDGzFF1uWx8cZ7I9XdYRyYvcLyhRjFq3sjM3E1KNCZc8vj9c/g6ndojC9gXuGF/XNRrZXIMhNllsVltZ7JMnLgpGVulfvx34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2021-10-28T08:21:00Z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