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bidi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549"/>
        <w:gridCol w:w="6776"/>
        <w:tblGridChange w:id="0">
          <w:tblGrid>
            <w:gridCol w:w="2549"/>
            <w:gridCol w:w="6776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الاداري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2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Law 273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tl w:val="0"/>
              </w:rPr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tl w:val="0"/>
              </w:rPr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tl w:val="0"/>
              </w:rPr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tl w:val="0"/>
              </w:rPr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1y810t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bidi w:val="1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0"/>
        </w:rPr>
        <w:t xml:space="preserve">: </w:t>
      </w:r>
    </w:p>
    <w:tbl>
      <w:tblPr>
        <w:tblStyle w:val="Table2"/>
        <w:bidiVisual w:val="1"/>
        <w:tblW w:w="926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147.999999999999"/>
        <w:gridCol w:w="2397.000000000001"/>
        <w:gridCol w:w="4721"/>
        <w:tblGridChange w:id="0">
          <w:tblGrid>
            <w:gridCol w:w="2147.999999999999"/>
            <w:gridCol w:w="2397.000000000001"/>
            <w:gridCol w:w="472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</w:p>
          <w:tbl>
            <w:tblPr>
              <w:tblStyle w:val="Table3"/>
              <w:bidiVisual w:val="1"/>
              <w:tblW w:w="9364.999999999998" w:type="dxa"/>
              <w:jc w:val="center"/>
              <w:tblBorders>
                <w:top w:color="000000" w:space="0" w:sz="12" w:val="single"/>
                <w:left w:color="000000" w:space="0" w:sz="12" w:val="single"/>
                <w:bottom w:color="000000" w:space="0" w:sz="12" w:val="single"/>
                <w:right w:color="000000" w:space="0" w:sz="12" w:val="single"/>
                <w:insideH w:color="000000" w:space="0" w:sz="12" w:val="single"/>
                <w:insideV w:color="000000" w:space="0" w:sz="12" w:val="single"/>
              </w:tblBorders>
              <w:tblLayout w:type="fixed"/>
              <w:tblLook w:val="0000"/>
            </w:tblPr>
            <w:tblGrid>
              <w:gridCol w:w="379"/>
              <w:gridCol w:w="603"/>
              <w:gridCol w:w="757"/>
              <w:gridCol w:w="222"/>
              <w:gridCol w:w="107"/>
              <w:gridCol w:w="534"/>
              <w:gridCol w:w="379"/>
              <w:gridCol w:w="534"/>
              <w:gridCol w:w="589"/>
              <w:gridCol w:w="222"/>
              <w:gridCol w:w="883"/>
              <w:gridCol w:w="534"/>
              <w:gridCol w:w="1805"/>
              <w:gridCol w:w="222"/>
              <w:gridCol w:w="1595"/>
              <w:tblGridChange w:id="0">
                <w:tblGrid>
                  <w:gridCol w:w="379"/>
                  <w:gridCol w:w="603"/>
                  <w:gridCol w:w="757"/>
                  <w:gridCol w:w="222"/>
                  <w:gridCol w:w="107"/>
                  <w:gridCol w:w="534"/>
                  <w:gridCol w:w="379"/>
                  <w:gridCol w:w="534"/>
                  <w:gridCol w:w="589"/>
                  <w:gridCol w:w="222"/>
                  <w:gridCol w:w="883"/>
                  <w:gridCol w:w="534"/>
                  <w:gridCol w:w="1805"/>
                  <w:gridCol w:w="222"/>
                  <w:gridCol w:w="1595"/>
                </w:tblGrid>
              </w:tblGridChange>
            </w:tblGrid>
            <w:tr>
              <w:trPr>
                <w:cantSplit w:val="0"/>
                <w:trHeight w:val="283" w:hRule="atLeast"/>
                <w:tblHeader w:val="0"/>
              </w:trPr>
              <w:tc>
                <w:tcPr>
                  <w:tcBorders>
                    <w:top w:color="000000" w:space="0" w:sz="0" w:val="nil"/>
                    <w:bottom w:color="000000" w:space="0" w:sz="0" w:val="nil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3D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1"/>
                    </w:rPr>
                    <w:t xml:space="preserve">أ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2"/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E">
                  <w:pPr>
                    <w:bidi w:val="1"/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متطلب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جامعة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0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bidi w:val="1"/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متطلب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كلية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4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</w:t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5">
                  <w:pPr>
                    <w:bidi w:val="1"/>
                    <w:jc w:val="right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متطلب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قسم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8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9">
                  <w:pPr>
                    <w:bidi w:val="1"/>
                    <w:jc w:val="right"/>
                    <w:rPr>
                      <w:b w:val="1"/>
                      <w:highlight w:val="yellow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1"/>
                    </w:rPr>
                    <w:t xml:space="preserve">أخرى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bidi w:val="1"/>
                    <w:rPr>
                      <w:b w:val="1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B">
                  <w:pPr>
                    <w:bidi w:val="1"/>
                    <w:rPr>
                      <w:b w:val="1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3" w:hRule="atLeast"/>
                <w:tblHeader w:val="0"/>
              </w:trPr>
              <w:tc>
                <w:tcPr>
                  <w:gridSpan w:val="2"/>
                  <w:tcBorders>
                    <w:top w:color="000000" w:space="0" w:sz="0" w:val="nil"/>
                    <w:bottom w:color="000000" w:space="0" w:sz="8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b w:val="1"/>
                      <w:rtl w:val="1"/>
                    </w:rPr>
                    <w:t xml:space="preserve">.</w:t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E">
                  <w:pPr>
                    <w:bidi w:val="1"/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إجباري</w:t>
                  </w: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8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1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X</w:t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4" w:val="single"/>
                    <w:bottom w:color="000000" w:space="0" w:sz="8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2">
                  <w:pPr>
                    <w:bidi w:val="1"/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1"/>
                    </w:rPr>
                    <w:t xml:space="preserve">اختياري</w:t>
                  </w:r>
                  <w:r w:rsidDel="00000000" w:rsidR="00000000" w:rsidRPr="00000000">
                    <w:rPr>
                      <w:i w:val="1"/>
                      <w:sz w:val="18"/>
                      <w:szCs w:val="1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8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5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5"/>
                  <w:tcBorders>
                    <w:top w:color="000000" w:space="0" w:sz="0" w:val="nil"/>
                    <w:left w:color="000000" w:space="0" w:sz="4" w:val="single"/>
                    <w:bottom w:color="000000" w:space="0" w:sz="8" w:val="single"/>
                  </w:tcBorders>
                  <w:vAlign w:val="center"/>
                </w:tcPr>
                <w:p w:rsidR="00000000" w:rsidDel="00000000" w:rsidP="00000000" w:rsidRDefault="00000000" w:rsidRPr="00000000" w14:paraId="00000056">
                  <w:pPr>
                    <w:bidi w:val="1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</w:p>
          <w:p w:rsidR="00000000" w:rsidDel="00000000" w:rsidP="00000000" w:rsidRDefault="00000000" w:rsidRPr="00000000" w14:paraId="0000005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الثانية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3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Law 150</w:t>
            </w:r>
          </w:p>
          <w:p w:rsidR="00000000" w:rsidDel="00000000" w:rsidP="00000000" w:rsidRDefault="00000000" w:rsidRPr="00000000" w14:paraId="0000006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</w:p>
          <w:p w:rsidR="00000000" w:rsidDel="00000000" w:rsidP="00000000" w:rsidRDefault="00000000" w:rsidRPr="00000000" w14:paraId="0000006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8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5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88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8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8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9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9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إستوديو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9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9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9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9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9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9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تذكر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9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9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9C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1"/>
        <w:rPr/>
      </w:pPr>
      <w:bookmarkStart w:colFirst="0" w:colLast="0" w:name="_heading=h.3znysh7" w:id="3"/>
      <w:bookmarkEnd w:id="3"/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ومخرجاته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9E">
            <w:pPr>
              <w:pStyle w:val="Heading2"/>
              <w:numPr>
                <w:ilvl w:val="0"/>
                <w:numId w:val="3"/>
              </w:numPr>
              <w:bidi w:val="1"/>
              <w:ind w:left="720" w:hanging="360"/>
              <w:rPr>
                <w:b w:val="1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b w:val="1"/>
                <w:rtl w:val="1"/>
              </w:rPr>
              <w:t xml:space="preserve">الوصف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9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تدريسه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النجاح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  <w:r w:rsidDel="00000000" w:rsidR="00000000" w:rsidRPr="00000000">
              <w:rPr>
                <w:rtl w:val="1"/>
              </w:rPr>
              <w:t xml:space="preserve"> 1 ، </w:t>
            </w:r>
            <w:r w:rsidDel="00000000" w:rsidR="00000000" w:rsidRPr="00000000">
              <w:rPr>
                <w:rtl w:val="1"/>
              </w:rPr>
              <w:t xml:space="preserve">ويعتبر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موضوعات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إذ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يتناول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التعاقدية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الحكومية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التعاقدية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تتمتع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بأهمية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قصوى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لارتباطها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لذا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فإن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ضرورة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غنى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للوقوف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تبرمها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حتى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التحقق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توجيه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وفقا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للصالح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A0">
            <w:pPr>
              <w:pStyle w:val="Heading2"/>
              <w:bidi w:val="1"/>
              <w:rPr>
                <w:b w:val="1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rtl w:val="1"/>
              </w:rPr>
              <w:t xml:space="preserve">الهدف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1">
            <w:pPr>
              <w:numPr>
                <w:ilvl w:val="0"/>
                <w:numId w:val="2"/>
              </w:numPr>
              <w:bidi w:val="1"/>
              <w:spacing w:line="276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لتمكين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المواضيع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التالية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2"/>
              </w:numPr>
              <w:bidi w:val="1"/>
              <w:spacing w:line="276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نشأة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التنظيم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bidi w:val="1"/>
              <w:spacing w:line="276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ماهية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ابرام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الادارية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"/>
              </w:numPr>
              <w:bidi w:val="1"/>
              <w:spacing w:line="276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سلطات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والتزامات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تنفيذ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"/>
              </w:numPr>
              <w:bidi w:val="1"/>
              <w:spacing w:line="276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التزامات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وحقوق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المتعاقدين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الادارية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"/>
              </w:numPr>
              <w:bidi w:val="1"/>
              <w:spacing w:line="276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حالات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تمديد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"/>
              </w:numPr>
              <w:bidi w:val="1"/>
              <w:spacing w:line="276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منازعات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A8">
      <w:pPr>
        <w:pStyle w:val="Heading2"/>
        <w:bidi w:val="1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7"/>
        <w:bidiVisual w:val="1"/>
        <w:tblW w:w="9571.0" w:type="dxa"/>
        <w:jc w:val="left"/>
        <w:tblInd w:w="-72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A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A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0A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B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B1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يعرف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ويشرح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المفاهيم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والمصطلحات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الخاصة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بالقرارات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الإدارية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والعقود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والوظيفة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العامة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والأموال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العامة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B3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B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1</w:t>
            </w:r>
          </w:p>
          <w:p w:rsidR="00000000" w:rsidDel="00000000" w:rsidP="00000000" w:rsidRDefault="00000000" w:rsidRPr="00000000" w14:paraId="000000B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B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0B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BA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القواعد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المشاكل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المطروحة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  <w:p w:rsidR="00000000" w:rsidDel="00000000" w:rsidP="00000000" w:rsidRDefault="00000000" w:rsidRPr="00000000" w14:paraId="000000B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BE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يقارن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العقود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C1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يقدم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حلول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وحجج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صحيحة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مختلف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الاستشارات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المتعلقة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بالعقود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الإدارية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C4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  <w:p w:rsidR="00000000" w:rsidDel="00000000" w:rsidP="00000000" w:rsidRDefault="00000000" w:rsidRPr="00000000" w14:paraId="000000C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6</w:t>
            </w:r>
          </w:p>
          <w:p w:rsidR="00000000" w:rsidDel="00000000" w:rsidP="00000000" w:rsidRDefault="00000000" w:rsidRPr="00000000" w14:paraId="000000C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C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0C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</w:t>
            </w:r>
            <w:r w:rsidDel="00000000" w:rsidR="00000000" w:rsidRPr="00000000">
              <w:rPr>
                <w:rtl w:val="1"/>
              </w:rPr>
              <w:t xml:space="preserve">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C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تعزيز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روح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المواطنة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باحترام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القوانين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D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D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1"/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. </w:t>
      </w:r>
      <w:r w:rsidDel="00000000" w:rsidR="00000000" w:rsidRPr="00000000">
        <w:rPr>
          <w:b w:val="1"/>
          <w:rtl w:val="1"/>
        </w:rPr>
        <w:t xml:space="preserve">موضوعات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المقرر</w:t>
      </w:r>
    </w:p>
    <w:tbl>
      <w:tblPr>
        <w:tblStyle w:val="Table8"/>
        <w:bidiVisual w:val="1"/>
        <w:tblW w:w="954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6"/>
        <w:gridCol w:w="47"/>
        <w:gridCol w:w="1378"/>
        <w:gridCol w:w="14"/>
        <w:tblGridChange w:id="0">
          <w:tblGrid>
            <w:gridCol w:w="8106"/>
            <w:gridCol w:w="47"/>
            <w:gridCol w:w="1378"/>
            <w:gridCol w:w="14"/>
          </w:tblGrid>
        </w:tblGridChange>
      </w:tblGrid>
      <w:tr>
        <w:trPr>
          <w:cantSplit w:val="0"/>
          <w:trHeight w:val="372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9">
            <w:pPr>
              <w:keepNext w:val="1"/>
              <w:bidi w:val="1"/>
              <w:rPr>
                <w:b w:val="1"/>
                <w:color w:val="366091"/>
              </w:rPr>
            </w:pPr>
            <w:r w:rsidDel="00000000" w:rsidR="00000000" w:rsidRPr="00000000">
              <w:rPr>
                <w:b w:val="1"/>
                <w:color w:val="36609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الموضوعات</w:t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DA">
            <w:pPr>
              <w:keepNext w:val="1"/>
              <w:bidi w:val="1"/>
              <w:rPr>
                <w:b w:val="1"/>
                <w:color w:val="366091"/>
              </w:rPr>
            </w:pPr>
            <w:r w:rsidDel="00000000" w:rsidR="00000000" w:rsidRPr="00000000">
              <w:rPr>
                <w:b w:val="1"/>
                <w:color w:val="36609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الاتصال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مقدمة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عامة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نشأة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التنظيم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للعقود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الادارية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ماهية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العقود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الإدارية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1">
            <w:pPr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للمناقصة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التزامات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الجهات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الحكومية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قبل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طرح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المناقصة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1"/>
              </w:rPr>
              <w:t xml:space="preserve">الإعلان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المناقصة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العروض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لجنة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فتح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المظاريف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ولجنة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فحص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العروض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البت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المنافسة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ابرام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العقد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   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A">
            <w:pPr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المزايدة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بيع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المنقولات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الحكومية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اجراءات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بيع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المنقولات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الحكومية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F">
            <w:pPr>
              <w:bidi w:val="1"/>
              <w:spacing w:line="216" w:lineRule="auto"/>
              <w:rPr/>
            </w:pPr>
            <w:r w:rsidDel="00000000" w:rsidR="00000000" w:rsidRPr="00000000">
              <w:rPr>
                <w:rtl w:val="1"/>
              </w:rPr>
              <w:t xml:space="preserve">الشراء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المباشر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الشراء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المباشر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احكام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الشراء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المباشر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rHeight w:val="1152.0000000000027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bidi w:val="1"/>
              <w:spacing w:line="216" w:lineRule="auto"/>
              <w:rPr/>
            </w:pPr>
            <w:r w:rsidDel="00000000" w:rsidR="00000000" w:rsidRPr="00000000">
              <w:rPr>
                <w:rtl w:val="1"/>
              </w:rPr>
              <w:t xml:space="preserve">الآثار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المترتبة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ابرام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الادارية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التزامات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وحقوق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الجهات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التزامات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وحقوق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المتعاقد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الجهات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الادارية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تمديد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ونهاية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العقود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الادارية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0"/>
          <w:trHeight w:val="881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منازعات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التسوية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القضائية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لمنازعات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العقود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الإدارية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التحكيم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تسوية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المنازعات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ذات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الطابع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0">
            <w:pPr>
              <w:bidi w:val="1"/>
              <w:spacing w:line="216" w:lineRule="auto"/>
              <w:rPr/>
            </w:pP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تخضع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3">
            <w:pPr>
              <w:bidi w:val="1"/>
              <w:spacing w:line="216" w:lineRule="auto"/>
              <w:rPr/>
            </w:pPr>
            <w:r w:rsidDel="00000000" w:rsidR="00000000" w:rsidRPr="00000000">
              <w:rPr>
                <w:rtl w:val="1"/>
              </w:rPr>
              <w:t xml:space="preserve">تطبيقات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المنافسات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والمشتريات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الحكومية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ولائحته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التنفيذية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1"/>
        <w:rPr/>
      </w:pPr>
      <w:bookmarkStart w:colFirst="0" w:colLast="0" w:name="_heading=h.1t3h5sf" w:id="7"/>
      <w:bookmarkEnd w:id="7"/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والتقييم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10B">
      <w:pPr>
        <w:pStyle w:val="Heading2"/>
        <w:bidi w:val="1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 </w:t>
      </w:r>
      <w:r w:rsidDel="00000000" w:rsidR="00000000" w:rsidRPr="00000000">
        <w:rPr>
          <w:rtl w:val="1"/>
        </w:rPr>
        <w:t xml:space="preserve">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9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997"/>
        <w:gridCol w:w="2437"/>
        <w:gridCol w:w="2284"/>
        <w:tblGridChange w:id="0">
          <w:tblGrid>
            <w:gridCol w:w="853"/>
            <w:gridCol w:w="3997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C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D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1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11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1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  <w:p w:rsidR="00000000" w:rsidDel="00000000" w:rsidP="00000000" w:rsidRDefault="00000000" w:rsidRPr="00000000" w14:paraId="0000011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16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يعرف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ويشرح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المفاهيم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والمصطلحات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الخاصة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بالقرارات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الإدارية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والعقود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والوظيفة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العامة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والأموال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العامة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1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1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1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1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الاطلاع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الخارجي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23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القواعد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المشاكل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المطروحة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24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2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2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2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2D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يقارن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بين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العقود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الادارية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2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2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3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33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</w:p>
          <w:p w:rsidR="00000000" w:rsidDel="00000000" w:rsidP="00000000" w:rsidRDefault="00000000" w:rsidRPr="00000000" w14:paraId="0000013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36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يقدم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حلول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وحجج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صحيحة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مختلف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الاستشارات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المتعلقة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بالعقود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الإدارية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3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3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3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3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2.5</w:t>
            </w:r>
          </w:p>
          <w:p w:rsidR="00000000" w:rsidDel="00000000" w:rsidP="00000000" w:rsidRDefault="00000000" w:rsidRPr="00000000" w14:paraId="0000013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40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بالقانون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الإداري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41">
            <w:pPr>
              <w:bidi w:val="1"/>
              <w:jc w:val="both"/>
              <w:rPr>
                <w:color w:val="000000"/>
              </w:rPr>
            </w:pPr>
            <w:r w:rsidDel="00000000" w:rsidR="00000000" w:rsidRPr="00000000">
              <w:rPr>
                <w:rtl w:val="1"/>
              </w:rPr>
              <w:t xml:space="preserve">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الأبحاث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ومناقشتها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42">
            <w:pPr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43">
            <w:pPr>
              <w:jc w:val="right"/>
              <w:rPr/>
            </w:pPr>
            <w:r w:rsidDel="00000000" w:rsidR="00000000" w:rsidRPr="00000000">
              <w:rPr>
                <w:rtl w:val="1"/>
              </w:rPr>
              <w:t xml:space="preserve">المهمات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المنزلية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4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التكاليف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ومناقشتها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4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تعزيز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روح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المواطنة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باحترام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القوانين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التكاليف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ومناقشتها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5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3">
      <w:pPr>
        <w:pStyle w:val="Heading2"/>
        <w:bidi w:val="1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10"/>
        <w:bidiVisual w:val="1"/>
        <w:tblW w:w="9576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5555"/>
        <w:gridCol w:w="1518.0000000000005"/>
        <w:gridCol w:w="2082"/>
        <w:tblGridChange w:id="0">
          <w:tblGrid>
            <w:gridCol w:w="421"/>
            <w:gridCol w:w="5555"/>
            <w:gridCol w:w="1518.0000000000005"/>
            <w:gridCol w:w="20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5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5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5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الإختبار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الفصلي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5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السادس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5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5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الإختبار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الفصلي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6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التاسع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6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6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المهمات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المنزلية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الواجبات</w:t>
            </w:r>
            <w:r w:rsidDel="00000000" w:rsidR="00000000" w:rsidRPr="00000000">
              <w:rPr>
                <w:rtl w:val="1"/>
              </w:rPr>
              <w:t xml:space="preserve">)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6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الخامس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العاشر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6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6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الورقة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6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الخامس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العاشر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6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6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6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6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6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7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7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7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7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bidi w:val="1"/>
        <w:rPr/>
      </w:pPr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Style w:val="Heading1"/>
        <w:rPr/>
      </w:pP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الأكاديمي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الطلابي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الصاقه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 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لتواجد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إلصاق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اسماء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يخضعون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لإشراف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ايضا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7D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Style w:val="Heading1"/>
        <w:rPr/>
      </w:pPr>
      <w:bookmarkStart w:colFirst="0" w:colLast="0" w:name="_heading=h.3rdcrjn" w:id="10"/>
      <w:bookmarkEnd w:id="10"/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والمرافق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17F">
      <w:pPr>
        <w:pStyle w:val="Heading2"/>
        <w:bidi w:val="1"/>
        <w:rPr/>
      </w:pPr>
      <w:bookmarkStart w:colFirst="0" w:colLast="0" w:name="_heading=h.26in1rg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0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للمقرر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حمدي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العجمي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مطبوعات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مركز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البحوث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معهد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الرياض</w:t>
            </w:r>
            <w:r w:rsidDel="00000000" w:rsidR="00000000" w:rsidRPr="00000000">
              <w:rPr>
                <w:rtl w:val="1"/>
              </w:rPr>
              <w:t xml:space="preserve">، 1442، 2021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احسان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الخولي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الوجيز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</w:t>
            </w:r>
            <w:r w:rsidDel="00000000" w:rsidR="00000000" w:rsidRPr="00000000">
              <w:rPr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8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فؤاد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موسى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القرارات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وتطبيقاتها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مركز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البحوث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معهد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الرياض</w:t>
            </w:r>
            <w:r w:rsidDel="00000000" w:rsidR="00000000" w:rsidRPr="00000000">
              <w:rPr>
                <w:rtl w:val="1"/>
              </w:rPr>
              <w:t xml:space="preserve">  1424</w:t>
            </w:r>
            <w:r w:rsidDel="00000000" w:rsidR="00000000" w:rsidRPr="00000000">
              <w:rPr>
                <w:rtl w:val="1"/>
              </w:rPr>
              <w:t xml:space="preserve">هـ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space="0" w:sz="0" w:val="nil"/>
                <w:right w:color="000000" w:space="4" w:sz="4" w:val="single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يستعين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بالمواقع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8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يحتوي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النظامية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والقانونية</w:t>
            </w:r>
            <w:r w:rsidDel="00000000" w:rsidR="00000000" w:rsidRPr="00000000">
              <w:rPr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8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مودل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الأمير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سلطان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8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العدل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مكتبة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الكلية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مختلفة</w:t>
            </w:r>
          </w:p>
          <w:p w:rsidR="00000000" w:rsidDel="00000000" w:rsidP="00000000" w:rsidRDefault="00000000" w:rsidRPr="00000000" w14:paraId="0000018C">
            <w:pPr>
              <w:bidi w:val="1"/>
              <w:jc w:val="both"/>
              <w:rPr/>
            </w:pPr>
            <w:hyperlink r:id="rId7">
              <w:r w:rsidDel="00000000" w:rsidR="00000000" w:rsidRPr="00000000">
                <w:rPr>
                  <w:u w:val="single"/>
                  <w:rtl w:val="0"/>
                </w:rPr>
                <w:t xml:space="preserve">http://www.moj.gov.sa/mdona_moj/default.aspx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لهيئة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الخبراء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8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مدونة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18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http://www.moj.gov.sa/Default.aspx </w:t>
            </w:r>
          </w:p>
          <w:p w:rsidR="00000000" w:rsidDel="00000000" w:rsidP="00000000" w:rsidRDefault="00000000" w:rsidRPr="00000000" w14:paraId="0000019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العدل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http://www.cojss.com/article.php?a=295 </w:t>
            </w:r>
          </w:p>
          <w:p w:rsidR="00000000" w:rsidDel="00000000" w:rsidP="00000000" w:rsidRDefault="00000000" w:rsidRPr="00000000" w14:paraId="0000019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مركز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الدراسات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http://www.saudi.gov.sa/wps/portal/espp </w:t>
            </w:r>
          </w:p>
          <w:p w:rsidR="00000000" w:rsidDel="00000000" w:rsidP="00000000" w:rsidRDefault="00000000" w:rsidRPr="00000000" w14:paraId="0000019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الوطنية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للتعاملات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الالكترونية</w:t>
            </w:r>
          </w:p>
          <w:p w:rsidR="00000000" w:rsidDel="00000000" w:rsidP="00000000" w:rsidRDefault="00000000" w:rsidRPr="00000000" w14:paraId="0000019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اللوائح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غيرها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الصلة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8">
      <w:pPr>
        <w:pStyle w:val="Heading2"/>
        <w:bidi w:val="1"/>
        <w:rPr/>
      </w:pPr>
      <w:bookmarkStart w:colFirst="0" w:colLast="0" w:name="_heading=h.lnxbz9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Style w:val="Heading2"/>
        <w:bidi w:val="1"/>
        <w:rPr/>
      </w:pPr>
      <w:bookmarkStart w:colFirst="0" w:colLast="0" w:name="_heading=h.35nkun2" w:id="13"/>
      <w:bookmarkEnd w:id="13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والتجهيزات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3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19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الدراسية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المختبرات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العرض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المحاكاة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...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إلخ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قاعة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المحاضرات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1A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جهاز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البيانات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السبورة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البرمجيات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A1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تتوفر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قاعات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مجهزة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بالاتصال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بالانترنت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بالاضافة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إلى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أجهزة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كمبيوتر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أكثر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مكان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الجامعة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لخدمة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الطلاب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تبعا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لطبيعة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التخصص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تجهيز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الفصول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بالسمارت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بورد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والبروجكترات</w:t>
            </w:r>
            <w:r w:rsidDel="00000000" w:rsidR="00000000" w:rsidRPr="00000000">
              <w:rPr>
                <w:color w:val="000000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pStyle w:val="Heading1"/>
        <w:rPr/>
      </w:pPr>
      <w:bookmarkStart w:colFirst="0" w:colLast="0" w:name="_heading=h.1ksv4uv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Style w:val="Heading1"/>
        <w:rPr/>
      </w:pP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4"/>
        <w:bidiVisual w:val="1"/>
        <w:tblW w:w="9571.000000000002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A">
            <w:pPr>
              <w:bidi w:val="1"/>
              <w:jc w:val="center"/>
              <w:rPr/>
            </w:pPr>
            <w:bookmarkStart w:colFirst="0" w:colLast="0" w:name="_heading=h.44sinio" w:id="15"/>
            <w:bookmarkEnd w:id="15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bidi w:val="1"/>
              <w:jc w:val="both"/>
              <w:rPr/>
            </w:pPr>
            <w:bookmarkStart w:colFirst="0" w:colLast="0" w:name="_heading=h.2jxsxqh" w:id="16"/>
            <w:bookmarkEnd w:id="16"/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peer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observation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A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  <w:p w:rsidR="00000000" w:rsidDel="00000000" w:rsidP="00000000" w:rsidRDefault="00000000" w:rsidRPr="00000000" w14:paraId="000001B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B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C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C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7">
      <w:pPr>
        <w:bidi w:val="1"/>
        <w:rPr>
          <w:color w:val="c00000"/>
          <w:sz w:val="20"/>
          <w:szCs w:val="20"/>
        </w:rPr>
      </w:pPr>
      <w:bookmarkStart w:colFirst="0" w:colLast="0" w:name="_heading=h.z337ya" w:id="17"/>
      <w:bookmarkEnd w:id="17"/>
      <w:r w:rsidDel="00000000" w:rsidR="00000000" w:rsidRPr="00000000">
        <w:rPr>
          <w:color w:val="c00000"/>
          <w:sz w:val="20"/>
          <w:szCs w:val="20"/>
          <w:rtl w:val="1"/>
        </w:rPr>
        <w:t xml:space="preserve">مجالات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التقويم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فاعلية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فاعلة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للمقرر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مصادر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... </w:t>
      </w:r>
      <w:r w:rsidDel="00000000" w:rsidR="00000000" w:rsidRPr="00000000">
        <w:rPr>
          <w:sz w:val="20"/>
          <w:szCs w:val="20"/>
          <w:rtl w:val="1"/>
        </w:rPr>
        <w:t xml:space="preserve">إلخ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bidi w:val="1"/>
        <w:rPr>
          <w:sz w:val="20"/>
          <w:szCs w:val="20"/>
        </w:rPr>
      </w:pPr>
      <w:bookmarkStart w:colFirst="0" w:colLast="0" w:name="_heading=h.3j2qqm3" w:id="18"/>
      <w:bookmarkEnd w:id="18"/>
      <w:r w:rsidDel="00000000" w:rsidR="00000000" w:rsidRPr="00000000">
        <w:rPr>
          <w:color w:val="c00000"/>
          <w:sz w:val="20"/>
          <w:szCs w:val="20"/>
          <w:rtl w:val="1"/>
        </w:rPr>
        <w:t xml:space="preserve">المقيمون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الطلبة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قيادات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المراجع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النظير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تحديدها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C9">
      <w:pPr>
        <w:bidi w:val="1"/>
        <w:rPr>
          <w:color w:val="c00000"/>
          <w:sz w:val="20"/>
          <w:szCs w:val="20"/>
        </w:rPr>
      </w:pPr>
      <w:r w:rsidDel="00000000" w:rsidR="00000000" w:rsidRPr="00000000">
        <w:rPr>
          <w:color w:val="c00000"/>
          <w:sz w:val="20"/>
          <w:szCs w:val="20"/>
          <w:rtl w:val="1"/>
        </w:rPr>
        <w:t xml:space="preserve">طرق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التقييم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Style w:val="Heading1"/>
        <w:rPr/>
      </w:pPr>
      <w:bookmarkStart w:colFirst="0" w:colLast="0" w:name="_heading=h.1y810tw" w:id="19"/>
      <w:bookmarkEnd w:id="19"/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التوصيف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15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792"/>
        <w:gridCol w:w="7533"/>
        <w:tblGridChange w:id="0">
          <w:tblGrid>
            <w:gridCol w:w="1792"/>
            <w:gridCol w:w="753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CC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1CD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1CE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1CF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D0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1D1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D2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1D3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1D4">
      <w:pPr>
        <w:bidi w:val="1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-371028</wp:posOffset>
          </wp:positionV>
          <wp:extent cx="7313289" cy="761800"/>
          <wp:effectExtent b="0" l="0" r="0" t="0"/>
          <wp:wrapNone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4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-547419</wp:posOffset>
          </wp:positionH>
          <wp:positionV relativeFrom="paragraph">
            <wp:posOffset>-72464</wp:posOffset>
          </wp:positionV>
          <wp:extent cx="7127737" cy="10080000"/>
          <wp:effectExtent b="0" l="0" r="0" t="0"/>
          <wp:wrapNone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2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right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</w:pPr>
    <w:rPr/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right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</w:pPr>
    <w:rPr/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  <w:qFormat w:val="1"/>
    <w:rsid w:val="004A7F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1C3FF9"/>
    <w:pPr>
      <w:keepNext w:val="1"/>
      <w:spacing w:after="60" w:line="312" w:lineRule="atLeast"/>
      <w:jc w:val="right"/>
      <w:outlineLvl w:val="0"/>
    </w:pPr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F01DFA"/>
    <w:pPr>
      <w:keepNext w:val="1"/>
      <w:bidi w:val="1"/>
      <w:outlineLvl w:val="1"/>
    </w:pPr>
    <w:rPr>
      <w:rFonts w:asciiTheme="majorBidi" w:cstheme="majorBidi" w:hAnsiTheme="majorBidi"/>
    </w:rPr>
  </w:style>
  <w:style w:type="paragraph" w:styleId="Heading3">
    <w:name w:val="heading 3"/>
    <w:basedOn w:val="Normal"/>
    <w:next w:val="Normal"/>
    <w:link w:val="Heading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Heading4">
    <w:name w:val="heading 4"/>
    <w:basedOn w:val="Normal"/>
    <w:next w:val="Normal"/>
    <w:link w:val="Heading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Heading7">
    <w:name w:val="heading 7"/>
    <w:basedOn w:val="Normal"/>
    <w:next w:val="Normal"/>
    <w:link w:val="Heading7Char"/>
    <w:qFormat w:val="1"/>
    <w:rsid w:val="00B1176F"/>
    <w:pPr>
      <w:spacing w:after="60" w:before="240"/>
      <w:outlineLvl w:val="6"/>
    </w:pPr>
  </w:style>
  <w:style w:type="paragraph" w:styleId="Heading8">
    <w:name w:val="heading 8"/>
    <w:basedOn w:val="Normal"/>
    <w:next w:val="Normal"/>
    <w:link w:val="Heading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link w:val="Heading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 w:val="1"/>
      <w:bCs w:val="1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 w:val="1"/>
      <w:bCs w:val="1"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 w:val="1"/>
    <w:rsid w:val="00B1176F"/>
    <w:rPr>
      <w:b w:val="1"/>
      <w:bCs w:val="1"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 w:val="1"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 w:val="1"/>
    <w:rsid w:val="00FC79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C79D1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A37EA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B19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iPriority w:val="99"/>
    <w:unhideWhenUsed w:val="1"/>
    <w:rsid w:val="00470372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 w:val="1"/>
    <w:rsid w:val="00E54C65"/>
    <w:rPr>
      <w:b w:val="1"/>
      <w:bCs w:val="1"/>
    </w:rPr>
  </w:style>
  <w:style w:type="character" w:styleId="Heading3Char" w:customStyle="1">
    <w:name w:val="Heading 3 Char"/>
    <w:link w:val="Heading3"/>
    <w:rsid w:val="00A3606A"/>
    <w:rPr>
      <w:b w:val="1"/>
      <w:bCs w:val="1"/>
      <w:sz w:val="32"/>
      <w:szCs w:val="24"/>
    </w:rPr>
  </w:style>
  <w:style w:type="character" w:styleId="HeaderChar" w:customStyle="1">
    <w:name w:val="Header Char"/>
    <w:link w:val="Header"/>
    <w:uiPriority w:val="99"/>
    <w:rsid w:val="00A3606A"/>
    <w:rPr>
      <w:sz w:val="24"/>
      <w:szCs w:val="24"/>
    </w:rPr>
  </w:style>
  <w:style w:type="character" w:styleId="Heading7Char" w:customStyle="1">
    <w:name w:val="Heading 7 Char"/>
    <w:link w:val="Heading7"/>
    <w:rsid w:val="00886520"/>
    <w:rPr>
      <w:sz w:val="24"/>
      <w:szCs w:val="24"/>
    </w:rPr>
  </w:style>
  <w:style w:type="character" w:styleId="BodyTextChar" w:customStyle="1">
    <w:name w:val="Body Text Char"/>
    <w:link w:val="BodyText"/>
    <w:rsid w:val="00886520"/>
    <w:rPr>
      <w:b w:val="1"/>
      <w:bCs w:val="1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886520"/>
  </w:style>
  <w:style w:type="character" w:styleId="SubtitleChar" w:customStyle="1">
    <w:name w:val="Subtitle Char"/>
    <w:link w:val="Subtitle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Normal"/>
    <w:rsid w:val="00D47DF9"/>
    <w:pPr>
      <w:spacing w:after="100" w:afterAutospacing="1" w:before="100" w:beforeAutospacing="1"/>
    </w:pPr>
  </w:style>
  <w:style w:type="character" w:styleId="TitleChar" w:customStyle="1">
    <w:name w:val="Title Char"/>
    <w:link w:val="Title"/>
    <w:rsid w:val="00D47DF9"/>
    <w:rPr>
      <w:sz w:val="32"/>
      <w:szCs w:val="32"/>
      <w:lang w:val="en-GB"/>
    </w:rPr>
  </w:style>
  <w:style w:type="character" w:styleId="Heading1Char" w:customStyle="1">
    <w:name w:val="Heading 1 Char"/>
    <w:link w:val="Heading1"/>
    <w:rsid w:val="001C3FF9"/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character" w:styleId="Heading2Char" w:customStyle="1">
    <w:name w:val="Heading 2 Char"/>
    <w:link w:val="Heading2"/>
    <w:rsid w:val="00F01DFA"/>
    <w:rPr>
      <w:rFonts w:asciiTheme="majorBidi" w:cstheme="majorBidi" w:hAnsiTheme="majorBidi"/>
      <w:sz w:val="24"/>
      <w:szCs w:val="24"/>
    </w:rPr>
  </w:style>
  <w:style w:type="character" w:styleId="Heading4Char" w:customStyle="1">
    <w:name w:val="Heading 4 Char"/>
    <w:link w:val="Heading4"/>
    <w:rsid w:val="00D47DF9"/>
    <w:rPr>
      <w:b w:val="1"/>
      <w:bCs w:val="1"/>
      <w:sz w:val="28"/>
      <w:szCs w:val="28"/>
    </w:rPr>
  </w:style>
  <w:style w:type="character" w:styleId="Heading5Char" w:customStyle="1">
    <w:name w:val="Heading 5 Char"/>
    <w:link w:val="Heading5"/>
    <w:rsid w:val="00D47DF9"/>
    <w:rPr>
      <w:b w:val="1"/>
      <w:sz w:val="24"/>
      <w:szCs w:val="28"/>
      <w:lang w:bidi="ar-EG"/>
    </w:rPr>
  </w:style>
  <w:style w:type="character" w:styleId="Heading6Char" w:customStyle="1">
    <w:name w:val="Heading 6 Char"/>
    <w:link w:val="Heading6"/>
    <w:rsid w:val="00D47DF9"/>
    <w:rPr>
      <w:b w:val="1"/>
      <w:bCs w:val="1"/>
      <w:sz w:val="24"/>
      <w:szCs w:val="28"/>
    </w:rPr>
  </w:style>
  <w:style w:type="character" w:styleId="Heading8Char" w:customStyle="1">
    <w:name w:val="Heading 8 Char"/>
    <w:link w:val="Heading8"/>
    <w:rsid w:val="00D47DF9"/>
    <w:rPr>
      <w:i w:val="1"/>
      <w:iCs w:val="1"/>
      <w:sz w:val="24"/>
      <w:szCs w:val="24"/>
    </w:rPr>
  </w:style>
  <w:style w:type="character" w:styleId="Heading9Char" w:customStyle="1">
    <w:name w:val="Heading 9 Char"/>
    <w:link w:val="Heading9"/>
    <w:rsid w:val="00D47DF9"/>
    <w:rPr>
      <w:rFonts w:ascii="Arial" w:cs="Arial" w:hAnsi="Arial"/>
      <w:sz w:val="22"/>
      <w:szCs w:val="22"/>
    </w:rPr>
  </w:style>
  <w:style w:type="character" w:styleId="BodyTextIndentChar" w:customStyle="1">
    <w:name w:val="Body Text Indent Char"/>
    <w:link w:val="BodyTextIndent"/>
    <w:rsid w:val="00D47DF9"/>
    <w:rPr>
      <w:sz w:val="24"/>
      <w:szCs w:val="24"/>
    </w:rPr>
  </w:style>
  <w:style w:type="character" w:styleId="BodyText2Char" w:customStyle="1">
    <w:name w:val="Body Text 2 Char"/>
    <w:link w:val="BodyText2"/>
    <w:rsid w:val="00D47DF9"/>
    <w:rPr>
      <w:b w:val="1"/>
      <w:bCs w:val="1"/>
      <w:sz w:val="28"/>
      <w:szCs w:val="28"/>
    </w:rPr>
  </w:style>
  <w:style w:type="character" w:styleId="BodyTextIndent2Char" w:customStyle="1">
    <w:name w:val="Body Text Indent 2 Char"/>
    <w:link w:val="BodyTextIndent2"/>
    <w:rsid w:val="00D47DF9"/>
    <w:rPr>
      <w:szCs w:val="24"/>
    </w:rPr>
  </w:style>
  <w:style w:type="character" w:styleId="BodyText3Char" w:customStyle="1">
    <w:name w:val="Body Text 3 Char"/>
    <w:link w:val="BodyText3"/>
    <w:rsid w:val="00D47DF9"/>
    <w:rPr>
      <w:lang w:bidi="ar-EG"/>
    </w:rPr>
  </w:style>
  <w:style w:type="character" w:styleId="DocumentMapChar" w:customStyle="1">
    <w:name w:val="Document Map Char"/>
    <w:link w:val="DocumentMap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F5F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5FB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NoSpacing">
    <w:name w:val="No Spacing"/>
    <w:uiPriority w:val="1"/>
    <w:qFormat w:val="1"/>
    <w:rsid w:val="00EF018C"/>
    <w:rPr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98321D"/>
    <w:pPr>
      <w:spacing w:after="100" w:afterAutospacing="1" w:before="100" w:beforeAutospacing="1"/>
    </w:pPr>
    <w:rPr>
      <w:lang w:eastAsia="en-GB" w:val="en-GB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986D6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oj.gov.sa/mdona_moj/default.aspx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9jrisIQXIC82VgepAoOTWE8jEg==">AMUW2mU1NyTHAQYL7zlCVfeAP3tmfAq7nyk7Khv6mNioVFvLzzNhblzJ+63W3xSTUYVoQTWaJiarTpAfMt+aNXH90b/pFWPOZ2XAmjfsILh+GB/iIEX6yDs2KxVeJ4excJWsz7yYxbmvomXqmk5J5VFBFwLgVqsnNfK8pZEp3W6erv4hVqwcsHm8IBLVLbpy0WxCvoSs8mjEXbxmqD+LZSbLSQQRAheD/EtEhhiV96YMZPK3BU2/u/JQZfZVhfl0Jf63CSEy93FI+/2DzblFhMowxsFWpHCUGM4mbj3s9q90wJWittbijdUP+N5pI/3cTie/pcOfqeNSziY3r6gHVz1I1PQo88gTnAN2g+cGd0LJVw9UYbdfoIcPuYWqYFCKWbs4g/neXO1OSBy22BYpLKis4M9rZyvC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2021-10-22T05:59:00Z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