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b050"/>
          <w:sz w:val="22"/>
          <w:szCs w:val="22"/>
          <w:vertAlign w:val="subscript"/>
        </w:rPr>
      </w:pPr>
      <w:r w:rsidDel="00000000" w:rsidR="00000000" w:rsidRPr="00000000">
        <w:rPr>
          <w:color w:val="00b050"/>
          <w:sz w:val="22"/>
          <w:szCs w:val="22"/>
          <w:vertAlign w:val="subscript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الإثبات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435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bidi w:val="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45"/>
        <w:gridCol w:w="678"/>
        <w:gridCol w:w="839"/>
        <w:gridCol w:w="75"/>
        <w:gridCol w:w="265"/>
        <w:gridCol w:w="162"/>
        <w:gridCol w:w="254"/>
        <w:gridCol w:w="539"/>
        <w:gridCol w:w="289"/>
        <w:gridCol w:w="662"/>
        <w:gridCol w:w="256"/>
        <w:gridCol w:w="192"/>
        <w:gridCol w:w="513"/>
        <w:gridCol w:w="237"/>
        <w:gridCol w:w="1927"/>
        <w:gridCol w:w="256"/>
        <w:gridCol w:w="1736"/>
        <w:tblGridChange w:id="0">
          <w:tblGrid>
            <w:gridCol w:w="445"/>
            <w:gridCol w:w="678"/>
            <w:gridCol w:w="839"/>
            <w:gridCol w:w="75"/>
            <w:gridCol w:w="265"/>
            <w:gridCol w:w="162"/>
            <w:gridCol w:w="254"/>
            <w:gridCol w:w="539"/>
            <w:gridCol w:w="289"/>
            <w:gridCol w:w="662"/>
            <w:gridCol w:w="256"/>
            <w:gridCol w:w="192"/>
            <w:gridCol w:w="513"/>
            <w:gridCol w:w="237"/>
            <w:gridCol w:w="1927"/>
            <w:gridCol w:w="256"/>
            <w:gridCol w:w="173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rFonts w:ascii="Algerian" w:cs="Algerian" w:eastAsia="Algerian" w:hAnsi="Algerian"/>
                <w:b w:val="1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Fonts w:ascii="Algerian" w:cs="Algerian" w:eastAsia="Algerian" w:hAnsi="Algerian"/>
                <w:b w:val="1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Fonts w:ascii="Algerian" w:cs="Algerian" w:eastAsia="Algerian" w:hAnsi="Algerian"/>
                <w:b w:val="1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Law 221 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وإستديو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2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1"/>
        <w:bidi w:val="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pStyle w:val="Heading2"/>
              <w:bidi w:val="1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 </w:t>
            </w:r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bidi w:val="1"/>
              <w:jc w:val="both"/>
              <w:rPr>
                <w:rFonts w:ascii="Tajawal" w:cs="Tajawal" w:eastAsia="Tajawal" w:hAnsi="Tajawal"/>
                <w:color w:val="555555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يأتي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ألم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بمفردات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التنظيم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القضائي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ليدرس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القواعد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الموضوعية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والإجرائية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للإثبات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مذاهب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الإثبات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الإثبات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الشهادة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القرائن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الإقرار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اليمين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الخبرة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المعاينة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وحجية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الإثبات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دور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القاضي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الإثبات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الإسلامي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والأنظمة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الأهمية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لعبء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الإثبات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والأحكام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الصادرة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بالإثبات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وخصائصها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pStyle w:val="Heading2"/>
              <w:bidi w:val="1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الموضوعية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والإجرائية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للإثبات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الإثبات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وأنواعها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الاثبات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المرافعات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القاضي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الاثبات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الصادرة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بالإثبات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pStyle w:val="Heading2"/>
        <w:bidi w:val="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571.0" w:type="dxa"/>
        <w:jc w:val="left"/>
        <w:tblInd w:w="-72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8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تعر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المصطلحات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لقواعد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الإثبات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نظام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المرافعات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الشرعية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السعودي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2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B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يلخص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الإثبات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النظام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السعودي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.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E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4">
            <w:pPr>
              <w:bidi w:val="1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تفسر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المبادئ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تقوم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نظرية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الاثبات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18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تطبق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1B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تقارن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الإثبات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وحجية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أدلة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الإثبات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نظام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المرافعات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السعودي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بمفردات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21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4، 6</w:t>
            </w:r>
          </w:p>
          <w:p w:rsidR="00000000" w:rsidDel="00000000" w:rsidP="00000000" w:rsidRDefault="00000000" w:rsidRPr="00000000" w14:paraId="00000122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4">
            <w:pPr>
              <w:bidi w:val="1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الصفية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1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bidi w:val="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1"/>
        <w:bidi w:val="1"/>
        <w:rPr>
          <w:rFonts w:ascii="Calibri" w:cs="Calibri" w:eastAsia="Calibri" w:hAnsi="Calibri"/>
          <w:b w:val="0"/>
          <w:color w:val="000000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b w:val="0"/>
          <w:color w:val="000000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1"/>
        </w:rPr>
        <w:t xml:space="preserve">موضوعات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1"/>
        </w:rPr>
        <w:t xml:space="preserve">المقرر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1"/>
        </w:rPr>
        <w:t xml:space="preserve"> </w:t>
      </w:r>
    </w:p>
    <w:tbl>
      <w:tblPr>
        <w:tblStyle w:val="Table7"/>
        <w:bidiVisual w:val="1"/>
        <w:tblW w:w="9561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"/>
        <w:gridCol w:w="537"/>
        <w:gridCol w:w="7637"/>
        <w:gridCol w:w="10"/>
        <w:gridCol w:w="1366"/>
        <w:gridCol w:w="1"/>
        <w:tblGridChange w:id="0">
          <w:tblGrid>
            <w:gridCol w:w="10"/>
            <w:gridCol w:w="537"/>
            <w:gridCol w:w="7637"/>
            <w:gridCol w:w="10"/>
            <w:gridCol w:w="1366"/>
            <w:gridCol w:w="1"/>
          </w:tblGrid>
        </w:tblGridChange>
      </w:tblGrid>
      <w:tr>
        <w:trPr>
          <w:cantSplit w:val="0"/>
          <w:trHeight w:val="443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الموضوعات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ساعات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الاتصال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مقدمة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الاثبات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التنظيم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القضائي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والتشريعي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للإثبات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طبيعة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قواعده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المبادئ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يقوم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-.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محله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وعبئه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-)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القواعد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الموضوعية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والإجرائية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للإثبات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E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الاثبات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النظام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السعودي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اليمين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4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الاقرار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شهادة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الشهود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القرائن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وتطبيقاتها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0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المعاينة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وتطبيقاتها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الخبرة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وتطبيقاته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C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0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وحجية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الإثبات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2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6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القاض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الإثبات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الفقه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والأنظمة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المقارنة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الأهمية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لعبء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الإثبات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8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C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والأحكام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الصادرة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بالإثبات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وخصائصها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E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1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Style w:val="Heading1"/>
        <w:bidi w:val="1"/>
        <w:rPr/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7E">
      <w:pPr>
        <w:pStyle w:val="Heading2"/>
        <w:bidi w:val="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8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تعريف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مصطلحات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قواعد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الإثبات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نظام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المرافعات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الشرعية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السعودي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8D">
            <w:pPr>
              <w:bidi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91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تفسير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المبادئ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نظرية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الاثبات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A1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العملي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A5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الصفية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A7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A9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العملي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AD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الصفية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تقارن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حجية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أدلة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الإثبات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المختلفة</w:t>
            </w:r>
          </w:p>
          <w:p w:rsidR="00000000" w:rsidDel="00000000" w:rsidP="00000000" w:rsidRDefault="00000000" w:rsidRPr="00000000" w14:paraId="000001B0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B2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العملي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B6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الصفية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الصلة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BB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المنزلية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C1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القيم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الصفية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6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C9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تقويم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قائد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البحثي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النقاشي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pStyle w:val="Heading2"/>
        <w:bidi w:val="1"/>
        <w:rPr/>
      </w:pPr>
      <w:bookmarkStart w:colFirst="0" w:colLast="0" w:name="_heading=h.4u4hweq2dh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Style w:val="Heading2"/>
        <w:bidi w:val="1"/>
        <w:rPr/>
      </w:pPr>
      <w:bookmarkStart w:colFirst="0" w:colLast="0" w:name="_heading=h.9aah5jm97veh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680"/>
        <w:gridCol w:w="1920"/>
        <w:tblGridChange w:id="0">
          <w:tblGrid>
            <w:gridCol w:w="421"/>
            <w:gridCol w:w="5555"/>
            <w:gridCol w:w="1680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أعمال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E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أعمال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التاسع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E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F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3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الأبحاث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F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7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النهائي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التحريري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F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B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0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03">
      <w:pPr>
        <w:pStyle w:val="Heading1"/>
        <w:bidi w:val="1"/>
        <w:rPr/>
      </w:pPr>
      <w:bookmarkStart w:colFirst="0" w:colLast="0" w:name="_heading=h.3rdcrjn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color w:val="000000"/>
                <w:rtl w:val="1"/>
              </w:rPr>
              <w:t xml:space="preserve">كما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اسماء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الطلبة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الذين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يخضعون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لإشراف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المدرس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مكتبه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ايضا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1"/>
        <w:bidi w:val="1"/>
        <w:rPr/>
      </w:pPr>
      <w:bookmarkStart w:colFirst="0" w:colLast="0" w:name="_heading=h.26in1rg" w:id="13"/>
      <w:bookmarkEnd w:id="13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208">
      <w:pPr>
        <w:pStyle w:val="Heading2"/>
        <w:bidi w:val="1"/>
        <w:rPr/>
      </w:pPr>
      <w:bookmarkStart w:colFirst="0" w:colLast="0" w:name="_heading=h.lnxbz9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الوجيز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الاثبات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ضوء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للدكتور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السويلم</w:t>
            </w:r>
            <w:r w:rsidDel="00000000" w:rsidR="00000000" w:rsidRPr="00000000">
              <w:rPr>
                <w:rtl w:val="1"/>
              </w:rPr>
              <w:t xml:space="preserve"> -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الدولي</w:t>
            </w:r>
            <w:r w:rsidDel="00000000" w:rsidR="00000000" w:rsidRPr="00000000">
              <w:rPr>
                <w:rtl w:val="1"/>
              </w:rPr>
              <w:t xml:space="preserve"> -</w:t>
            </w: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الطبعة</w:t>
            </w:r>
            <w:r w:rsidDel="00000000" w:rsidR="00000000" w:rsidRPr="00000000">
              <w:rPr>
                <w:rtl w:val="1"/>
              </w:rPr>
              <w:t xml:space="preserve"> 1-</w:t>
            </w: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1438-2017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rPr/>
            </w:pPr>
            <w:bookmarkStart w:colFirst="0" w:colLast="0" w:name="_heading=h.35nkun2" w:id="15"/>
            <w:bookmarkEnd w:id="15"/>
            <w:r w:rsidDel="00000000" w:rsidR="00000000" w:rsidRPr="00000000">
              <w:rPr>
                <w:rtl w:val="1"/>
              </w:rPr>
              <w:t xml:space="preserve">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الإثبات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للدكتور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الزحيلي</w:t>
            </w:r>
            <w:r w:rsidDel="00000000" w:rsidR="00000000" w:rsidRPr="00000000">
              <w:rPr>
                <w:rtl w:val="1"/>
              </w:rPr>
              <w:t xml:space="preserve"> -</w:t>
            </w:r>
            <w:r w:rsidDel="00000000" w:rsidR="00000000" w:rsidRPr="00000000">
              <w:rPr>
                <w:rtl w:val="1"/>
              </w:rPr>
              <w:t xml:space="preserve">مكتبة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البيان</w:t>
            </w:r>
            <w:r w:rsidDel="00000000" w:rsidR="00000000" w:rsidRPr="00000000">
              <w:rPr>
                <w:rtl w:val="1"/>
              </w:rPr>
              <w:t xml:space="preserve"> -</w:t>
            </w: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النشر</w:t>
            </w:r>
            <w:r w:rsidDel="00000000" w:rsidR="00000000" w:rsidRPr="00000000">
              <w:rPr>
                <w:rtl w:val="1"/>
              </w:rPr>
              <w:t xml:space="preserve"> 1402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-1982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دمشق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العدل</w:t>
            </w:r>
            <w:r w:rsidDel="00000000" w:rsidR="00000000" w:rsidRPr="00000000">
              <w:rPr>
                <w:rtl w:val="1"/>
              </w:rPr>
              <w:t xml:space="preserve"> –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pStyle w:val="Heading2"/>
        <w:bidi w:val="1"/>
        <w:rPr>
          <w:sz w:val="14"/>
          <w:szCs w:val="14"/>
        </w:rPr>
      </w:pPr>
      <w:bookmarkStart w:colFirst="0" w:colLast="0" w:name="_heading=h.1ksv4uv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Style w:val="Heading2"/>
        <w:bidi w:val="1"/>
        <w:rPr/>
      </w:pPr>
      <w:bookmarkStart w:colFirst="0" w:colLast="0" w:name="_heading=h.44sinio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21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18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قاعات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2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تتوفر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قاعات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مجهزة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بالاتصال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بالإنترنت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كمبيوتر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لخدمة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مودل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الامير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تجهيز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الفصول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بالسمارت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بورد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والبروجكترات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pStyle w:val="Heading1"/>
        <w:bidi w:val="1"/>
        <w:rPr>
          <w:sz w:val="18"/>
          <w:szCs w:val="18"/>
        </w:rPr>
      </w:pPr>
      <w:bookmarkStart w:colFirst="0" w:colLast="0" w:name="_heading=h.2jxsxqh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1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23">
            <w:pPr>
              <w:bidi w:val="1"/>
              <w:jc w:val="center"/>
              <w:rPr/>
            </w:pPr>
            <w:bookmarkStart w:colFirst="0" w:colLast="0" w:name="_heading=h.z337ya" w:id="19"/>
            <w:bookmarkEnd w:id="19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2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both"/>
              <w:rPr/>
            </w:pPr>
            <w:bookmarkStart w:colFirst="0" w:colLast="0" w:name="_heading=h.3j2qqm3" w:id="20"/>
            <w:bookmarkEnd w:id="20"/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منسقة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227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أستاذ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تحصيل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أستاذ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233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جودة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أستاذ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239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bidi w:val="1"/>
        <w:rPr>
          <w:color w:val="c00000"/>
          <w:sz w:val="20"/>
          <w:szCs w:val="20"/>
        </w:rPr>
      </w:pPr>
      <w:bookmarkStart w:colFirst="0" w:colLast="0" w:name="_heading=h.1y810tw" w:id="21"/>
      <w:bookmarkEnd w:id="21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rPr>
          <w:sz w:val="20"/>
          <w:szCs w:val="20"/>
        </w:rPr>
      </w:pPr>
      <w:bookmarkStart w:colFirst="0" w:colLast="0" w:name="_heading=h.4i7ojhp" w:id="22"/>
      <w:bookmarkEnd w:id="22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41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Style w:val="Heading1"/>
        <w:bidi w:val="1"/>
        <w:rPr/>
      </w:pPr>
      <w:bookmarkStart w:colFirst="0" w:colLast="0" w:name="_heading=h.2xcytpi" w:id="23"/>
      <w:bookmarkEnd w:id="23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45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46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47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24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4A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4C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4D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Algerian"/>
  <w:font w:name="Tajawal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7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283B54"/>
    <w:pPr>
      <w:keepNext w:val="1"/>
      <w:bidi w:val="1"/>
      <w:outlineLvl w:val="0"/>
    </w:pPr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283B54"/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445939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jawal-regular.ttf"/><Relationship Id="rId2" Type="http://schemas.openxmlformats.org/officeDocument/2006/relationships/font" Target="fonts/Tajawal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4SsT22ctCqBhdATaOZP59KRIg==">AMUW2mUYgiOHiSUJnshskxFqx6Dym/h5+zGKHIaVFikWG1BwKERdZZ5/Ihu5xFcCFF1CjNU9uWJctuWOEvDcTWYXs3ZBQbLFXLNlfbWCCh/Dj5VJnvOVji2fncRv67XbVAGBQKum0zVbkG6zgLFKpIkVrZkr94PJA+2OGR8gn85t7DsBWVjPZXIhyi9/HObenTFBFI0lteEu4CjjUmMUlv/9d1y3CQlCVQDzpwMCUTNrqrvqcqYosFgmtuFvCwQUKcm0p89MiLDIajqEU1DGz20DvAbAwhqFGOB3UpkkrXZAAFOhaRGFQE4Ami4lUw7KCcPT4t/ROSNncNKOv+SMh7LslIGlvkuzCzHMmBv3npcnKDqQsc9JVpJgY3vQyC4FZQySVa/qQCJlU9LB7NBctNpnIxrOWzPrhs04c/DbarJM9bmGTVxvYu2oMekarz5iwZEiOFo53Rc//x1AsvX2gvV716ad9Gwp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2021-10-29T20:03:00Z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