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549"/>
        <w:gridCol w:w="6776"/>
        <w:tblGridChange w:id="0">
          <w:tblGrid>
            <w:gridCol w:w="2549"/>
            <w:gridCol w:w="6776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التأمين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Law 432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tl w:val="0"/>
              </w:rPr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tl w:val="0"/>
              </w:rPr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tl w:val="0"/>
              </w:rPr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0"/>
        </w:rPr>
        <w:t xml:space="preserve">: </w:t>
      </w:r>
    </w:p>
    <w:tbl>
      <w:tblPr>
        <w:tblStyle w:val="Table2"/>
        <w:bidiVisual w:val="1"/>
        <w:tblW w:w="932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64"/>
        <w:gridCol w:w="696"/>
        <w:gridCol w:w="856"/>
        <w:gridCol w:w="58"/>
        <w:gridCol w:w="213"/>
        <w:gridCol w:w="179"/>
        <w:gridCol w:w="270"/>
        <w:gridCol w:w="504"/>
        <w:gridCol w:w="270"/>
        <w:gridCol w:w="679"/>
        <w:gridCol w:w="270"/>
        <w:gridCol w:w="203"/>
        <w:gridCol w:w="431"/>
        <w:gridCol w:w="270"/>
        <w:gridCol w:w="1941"/>
        <w:gridCol w:w="270"/>
        <w:gridCol w:w="1751"/>
        <w:tblGridChange w:id="0">
          <w:tblGrid>
            <w:gridCol w:w="464"/>
            <w:gridCol w:w="696"/>
            <w:gridCol w:w="856"/>
            <w:gridCol w:w="58"/>
            <w:gridCol w:w="213"/>
            <w:gridCol w:w="179"/>
            <w:gridCol w:w="270"/>
            <w:gridCol w:w="504"/>
            <w:gridCol w:w="270"/>
            <w:gridCol w:w="679"/>
            <w:gridCol w:w="270"/>
            <w:gridCol w:w="203"/>
            <w:gridCol w:w="431"/>
            <w:gridCol w:w="270"/>
            <w:gridCol w:w="1941"/>
            <w:gridCol w:w="270"/>
            <w:gridCol w:w="175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كلية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right"/>
              <w:rPr>
                <w:b w:val="1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إجباري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اختياري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الرابعة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90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Law 223</w:t>
            </w:r>
          </w:p>
          <w:p w:rsidR="00000000" w:rsidDel="00000000" w:rsidP="00000000" w:rsidRDefault="00000000" w:rsidRPr="00000000" w14:paraId="0000009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</w:p>
          <w:p w:rsidR="00000000" w:rsidDel="00000000" w:rsidP="00000000" w:rsidRDefault="00000000" w:rsidRPr="00000000" w14:paraId="000000B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DF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تذكر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F3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rPr/>
      </w:pPr>
      <w:bookmarkStart w:colFirst="0" w:colLast="0" w:name="_heading=h.3znysh7" w:id="3"/>
      <w:bookmarkEnd w:id="3"/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ومخرجاته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pStyle w:val="Heading2"/>
              <w:numPr>
                <w:ilvl w:val="0"/>
                <w:numId w:val="7"/>
              </w:numPr>
              <w:bidi w:val="1"/>
              <w:ind w:left="720" w:hanging="360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1"/>
              </w:rPr>
              <w:t xml:space="preserve">الوصف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مفهوم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تعريفه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وأهميته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والفرق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وأنواعه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الصحي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المركبات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الحياة</w:t>
            </w:r>
            <w:r w:rsidDel="00000000" w:rsidR="00000000" w:rsidRPr="00000000">
              <w:rPr>
                <w:rtl w:val="1"/>
              </w:rPr>
              <w:t xml:space="preserve">)،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للتأمين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وضمانات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آثار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التزامات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أطراف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انقضاء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وفض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منازعات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وفق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pStyle w:val="Heading2"/>
              <w:numPr>
                <w:ilvl w:val="0"/>
                <w:numId w:val="7"/>
              </w:numPr>
              <w:bidi w:val="1"/>
              <w:ind w:left="720" w:hanging="360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1"/>
              </w:rPr>
              <w:t xml:space="preserve">الهدف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9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اجتياز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البيع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والايجار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كمتطلب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تأتي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مفاهيم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والإسلامي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التعاوني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ويمك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مبادئ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وخصائص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عقدي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الإسلامي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يمكن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الاختلافات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والتعاوني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يدعم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والقوانين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وتطبيقاتها</w:t>
            </w:r>
            <w:r w:rsidDel="00000000" w:rsidR="00000000" w:rsidRPr="00000000">
              <w:rPr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A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pStyle w:val="Heading2"/>
        <w:bidi w:val="1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0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0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المفاهيم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الأساسية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وأركانه</w:t>
            </w:r>
            <w:r w:rsidDel="00000000" w:rsidR="00000000" w:rsidRPr="00000000">
              <w:rPr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0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ويلخص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مبادئ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وخصائص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وآثار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1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1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يقيم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مبادئ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لجان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الفصل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المنازعات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والمخالفات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التأمينية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للتوصل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الاستنتاج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المناسب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C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rtl w:val="1"/>
              </w:rPr>
              <w:t xml:space="preserve">يقارن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التكافلي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لإنتاج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2.4.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بمفردات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  <w:p w:rsidR="00000000" w:rsidDel="00000000" w:rsidP="00000000" w:rsidRDefault="00000000" w:rsidRPr="00000000" w14:paraId="0000012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2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2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6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bidi w:val="1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1"/>
        <w:rPr/>
      </w:pPr>
      <w:bookmarkStart w:colFirst="0" w:colLast="0" w:name="_heading=h.1t3h5sf" w:id="7"/>
      <w:bookmarkEnd w:id="7"/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موضوعات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بالتأمين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وأهميته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خصائص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ومبادئ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التجاري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أركان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وآثار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وانقضائه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بعقد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وأهميته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خصائص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ومبادئ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أركان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الإسلامي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1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الصحي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المركبات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الحياة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1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منازعات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للأنظمة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154">
      <w:pPr>
        <w:bidi w:val="1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Style w:val="Heading1"/>
        <w:rPr>
          <w:rFonts w:ascii="Times New Roman" w:cs="Times New Roman" w:eastAsia="Times New Roman" w:hAnsi="Times New Roman"/>
        </w:rPr>
      </w:pPr>
      <w:bookmarkStart w:colFirst="0" w:colLast="0" w:name="_heading=h.4d34og8" w:id="8"/>
      <w:bookmarkEnd w:id="8"/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والتقييم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156">
      <w:pPr>
        <w:pStyle w:val="Heading2"/>
        <w:bidi w:val="1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8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يعرف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يحدد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يوضح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يلخص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المفاهيم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الأساسية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لعقد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التأمين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6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الخارجي</w:t>
            </w:r>
          </w:p>
          <w:p w:rsidR="00000000" w:rsidDel="00000000" w:rsidP="00000000" w:rsidRDefault="00000000" w:rsidRPr="00000000" w14:paraId="0000016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الاسئلة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الشهرية</w:t>
            </w:r>
          </w:p>
          <w:p w:rsidR="00000000" w:rsidDel="00000000" w:rsidP="00000000" w:rsidRDefault="00000000" w:rsidRPr="00000000" w14:paraId="0000016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4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- </w:t>
            </w:r>
            <w:r w:rsidDel="00000000" w:rsidR="00000000" w:rsidRPr="00000000">
              <w:rPr>
                <w:color w:val="000000"/>
                <w:rtl w:val="1"/>
              </w:rPr>
              <w:t xml:space="preserve">يرتب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عناصر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التأمين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التجاري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قرارات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لجان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المنازعات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والمخالفات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التأمينية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7A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7E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80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82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86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8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يقارن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عناصر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التأمين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التجاري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الإسلامي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8A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8E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90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91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9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المهمات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المنزلية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A">
            <w:pPr>
              <w:spacing w:after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</w:p>
          <w:p w:rsidR="00000000" w:rsidDel="00000000" w:rsidP="00000000" w:rsidRDefault="00000000" w:rsidRPr="00000000" w14:paraId="0000019D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تقويم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قائد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الفريق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البحثي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النقاشي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pStyle w:val="Heading2"/>
        <w:bidi w:val="1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9"/>
        <w:bidiVisual w:val="1"/>
        <w:tblW w:w="957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5555"/>
        <w:gridCol w:w="1710"/>
        <w:gridCol w:w="1890"/>
        <w:tblGridChange w:id="0">
          <w:tblGrid>
            <w:gridCol w:w="421"/>
            <w:gridCol w:w="5555"/>
            <w:gridCol w:w="1710"/>
            <w:gridCol w:w="1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A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A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B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C">
            <w:pPr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E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F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التاسع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0">
            <w:pPr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2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المهمات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3">
            <w:pPr>
              <w:bidi w:val="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4">
            <w:pPr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الورقة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bidi w:val="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C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bidi w:val="1"/>
        <w:rPr/>
      </w:pPr>
      <w:bookmarkStart w:colFirst="0" w:colLast="0" w:name="_heading=h.3rdcrjn" w:id="11"/>
      <w:bookmarkEnd w:id="11"/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Style w:val="Heading1"/>
        <w:rPr/>
      </w:pP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الأكاديمي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الطلابي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الصاقه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يخضعون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لإشراف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ايضا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CD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Style w:val="Heading1"/>
        <w:rPr/>
      </w:pPr>
      <w:bookmarkStart w:colFirst="0" w:colLast="0" w:name="_heading=h.lnxbz9" w:id="13"/>
      <w:bookmarkEnd w:id="13"/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والمرافق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1D0">
      <w:pPr>
        <w:pStyle w:val="Heading2"/>
        <w:bidi w:val="1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bidi w:val="1"/>
              <w:ind w:left="360" w:firstLine="0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نعمات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مختار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مقارنة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مكتبة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الرشد</w:t>
            </w:r>
            <w:r w:rsidDel="00000000" w:rsidR="00000000" w:rsidRPr="00000000">
              <w:rPr>
                <w:rtl w:val="1"/>
              </w:rPr>
              <w:t xml:space="preserve">،  </w:t>
            </w:r>
            <w:r w:rsidDel="00000000" w:rsidR="00000000" w:rsidRPr="00000000">
              <w:rPr>
                <w:rtl w:val="1"/>
              </w:rPr>
              <w:t xml:space="preserve">الطبعة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الثانية</w:t>
            </w:r>
            <w:r w:rsidDel="00000000" w:rsidR="00000000" w:rsidRPr="00000000">
              <w:rPr>
                <w:rtl w:val="1"/>
              </w:rPr>
              <w:t xml:space="preserve"> 2021</w:t>
            </w:r>
          </w:p>
          <w:p w:rsidR="00000000" w:rsidDel="00000000" w:rsidP="00000000" w:rsidRDefault="00000000" w:rsidRPr="00000000" w14:paraId="000001D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قواعد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وإجراءات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لجان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المنازعات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والمخالفات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التأمينية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مراقبة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شركات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التأمين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ولائحته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التنفيذية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space="0" w:sz="0" w:val="nil"/>
                <w:right w:color="000000" w:space="4" w:sz="4" w:val="single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يستعين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بالمواقع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يحتوي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مدونة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D">
            <w:pPr>
              <w:bidi w:val="1"/>
              <w:jc w:val="both"/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https://www.moj.gov.sa/ar-sa/ministry/versions/Documents/50.pdf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الأمانة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للجان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المنازعات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والمخالفات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التأمينية</w:t>
            </w:r>
          </w:p>
          <w:p w:rsidR="00000000" w:rsidDel="00000000" w:rsidP="00000000" w:rsidRDefault="00000000" w:rsidRPr="00000000" w14:paraId="000001DF">
            <w:pPr>
              <w:bidi w:val="1"/>
              <w:jc w:val="both"/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https://www.idc.gov.sa/ar-sa/Pages/RulesandRegulations.aspx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pStyle w:val="Heading2"/>
        <w:bidi w:val="1"/>
        <w:rPr>
          <w:sz w:val="14"/>
          <w:szCs w:val="14"/>
        </w:rPr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Style w:val="Heading2"/>
        <w:bidi w:val="1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E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1E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القاعات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المختبرات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قاعات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العرض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قاعات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...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إلخ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E7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قاعة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تتسع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لـ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30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طالب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E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1E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جهاز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عرض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السبورة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الذكية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البرمجيات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EA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تتوفر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قاعات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مجهزة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بالاتصال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بالإنترنت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أجهزة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كمبيوتر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أكثر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مكان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الجامعة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لخدمة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تم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تجهيز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الفصول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بالسمارت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بورد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والبروجكترات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pStyle w:val="Heading1"/>
        <w:jc w:val="left"/>
        <w:rPr/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Style w:val="Heading1"/>
        <w:rPr/>
      </w:pP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F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F0">
            <w:pPr>
              <w:bidi w:val="1"/>
              <w:jc w:val="center"/>
              <w:rPr/>
            </w:pPr>
            <w:bookmarkStart w:colFirst="0" w:colLast="0" w:name="_heading=h.z337ya" w:id="18"/>
            <w:bookmarkEnd w:id="18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F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bidi w:val="1"/>
              <w:jc w:val="both"/>
              <w:rPr/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منسق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المقرر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4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الزملاء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0"/>
              </w:rPr>
              <w:t xml:space="preserve">peer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observation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F5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الطلاب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التقييم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السنوي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7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تقرير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الزملاء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8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تقييم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الطلاب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CES</w:t>
            </w:r>
          </w:p>
          <w:p w:rsidR="00000000" w:rsidDel="00000000" w:rsidP="00000000" w:rsidRDefault="00000000" w:rsidRPr="00000000" w14:paraId="000001F9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20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20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D">
      <w:pPr>
        <w:bidi w:val="1"/>
        <w:rPr/>
      </w:pPr>
      <w:bookmarkStart w:colFirst="0" w:colLast="0" w:name="_heading=h.1y810tw" w:id="20"/>
      <w:bookmarkEnd w:id="20"/>
      <w:r w:rsidDel="00000000" w:rsidR="00000000" w:rsidRPr="00000000">
        <w:rPr>
          <w:rtl w:val="1"/>
        </w:rPr>
        <w:t xml:space="preserve">مجالات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التقويم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فاعلية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فاعلة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إلخ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المقيمون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قيادات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المراجع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تحديدها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20E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Style w:val="Heading1"/>
        <w:rPr/>
      </w:pPr>
      <w:bookmarkStart w:colFirst="0" w:colLast="0" w:name="_heading=h.2xcytpi" w:id="21"/>
      <w:bookmarkEnd w:id="21"/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التوصيف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4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792"/>
        <w:gridCol w:w="7533"/>
        <w:tblGridChange w:id="0">
          <w:tblGrid>
            <w:gridCol w:w="1792"/>
            <w:gridCol w:w="753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10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211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12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13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14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15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16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17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18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6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  <w:qFormat w:val="1"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1C3FF9"/>
    <w:pPr>
      <w:keepNext w:val="1"/>
      <w:spacing w:after="60" w:line="312" w:lineRule="atLeast"/>
      <w:jc w:val="right"/>
      <w:outlineLvl w:val="0"/>
    </w:pPr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5C735D"/>
    <w:pPr>
      <w:keepNext w:val="1"/>
      <w:bidi w:val="1"/>
      <w:outlineLvl w:val="1"/>
    </w:pPr>
    <w:rPr>
      <w:rFonts w:asciiTheme="majorBidi" w:cstheme="majorBidi" w:hAnsiTheme="majorBidi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Heading4">
    <w:name w:val="heading 4"/>
    <w:basedOn w:val="Normal"/>
    <w:next w:val="Normal"/>
    <w:link w:val="Heading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qFormat w:val="1"/>
    <w:rsid w:val="00B1176F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 w:val="1"/>
      <w:bCs w:val="1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 w:val="1"/>
      <w:bCs w:val="1"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 w:val="1"/>
    <w:rsid w:val="00B1176F"/>
    <w:rPr>
      <w:b w:val="1"/>
      <w:bCs w:val="1"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 w:val="1"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 w:val="1"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A37EA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B194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iPriority w:val="99"/>
    <w:unhideWhenUsed w:val="1"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 w:val="1"/>
    <w:rsid w:val="00E54C65"/>
    <w:rPr>
      <w:b w:val="1"/>
      <w:bCs w:val="1"/>
    </w:rPr>
  </w:style>
  <w:style w:type="character" w:styleId="Heading3Char" w:customStyle="1">
    <w:name w:val="Heading 3 Char"/>
    <w:link w:val="Heading3"/>
    <w:rsid w:val="00A3606A"/>
    <w:rPr>
      <w:b w:val="1"/>
      <w:bCs w:val="1"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 w:val="1"/>
      <w:bCs w:val="1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after="100" w:afterAutospacing="1" w:before="100" w:before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1C3FF9"/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character" w:styleId="Heading2Char" w:customStyle="1">
    <w:name w:val="Heading 2 Char"/>
    <w:link w:val="Heading2"/>
    <w:rsid w:val="005C735D"/>
    <w:rPr>
      <w:rFonts w:asciiTheme="majorBidi" w:cstheme="majorBidi" w:hAnsiTheme="majorBidi"/>
      <w:b w:val="1"/>
      <w:bCs w:val="1"/>
      <w:sz w:val="24"/>
      <w:szCs w:val="24"/>
    </w:rPr>
  </w:style>
  <w:style w:type="character" w:styleId="Heading4Char" w:customStyle="1">
    <w:name w:val="Heading 4 Char"/>
    <w:link w:val="Heading4"/>
    <w:rsid w:val="00D47DF9"/>
    <w:rPr>
      <w:b w:val="1"/>
      <w:bCs w:val="1"/>
      <w:sz w:val="28"/>
      <w:szCs w:val="28"/>
    </w:rPr>
  </w:style>
  <w:style w:type="character" w:styleId="Heading5Char" w:customStyle="1">
    <w:name w:val="Heading 5 Char"/>
    <w:link w:val="Heading5"/>
    <w:rsid w:val="00D47DF9"/>
    <w:rPr>
      <w:b w:val="1"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 w:val="1"/>
      <w:bCs w:val="1"/>
      <w:sz w:val="24"/>
      <w:szCs w:val="28"/>
    </w:rPr>
  </w:style>
  <w:style w:type="character" w:styleId="Heading8Char" w:customStyle="1">
    <w:name w:val="Heading 8 Char"/>
    <w:link w:val="Heading8"/>
    <w:rsid w:val="00D47DF9"/>
    <w:rPr>
      <w:i w:val="1"/>
      <w:iCs w:val="1"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cs="Arial" w:hAnsi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 w:val="1"/>
      <w:bCs w:val="1"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5FB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NoSpacing">
    <w:name w:val="No Spacing"/>
    <w:uiPriority w:val="1"/>
    <w:qFormat w:val="1"/>
    <w:rsid w:val="00EF018C"/>
    <w:rPr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98321D"/>
    <w:pPr>
      <w:spacing w:after="100" w:afterAutospacing="1" w:before="100" w:beforeAutospacing="1"/>
    </w:pPr>
    <w:rPr>
      <w:lang w:eastAsia="en-GB" w:val="en-GB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oj.gov.sa/ar-sa/ministry/versions/Documents/50.pdf" TargetMode="External"/><Relationship Id="rId8" Type="http://schemas.openxmlformats.org/officeDocument/2006/relationships/hyperlink" Target="https://www.idc.gov.sa/ar-sa/Pages/RulesandRegulations.aspx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G1tIX4OVckgHRmawYwb1b2pazw==">AMUW2mXUQ9gXUIjALqIQDwx0kEhW4tcp/IJ5HYpKz7XjoxDTVNsgyp8CIF1G0tYXga/y0aYRzEhs3320fftCFCAR2NOHLTY25Dt3sNJOBg8pLtA+067Ouga+K5Ll6akZbb4VeNXek2OrHoW6Y4jlY6EqKzLcKiam4fw91wGCGdXPmiLEgwSYYpfG2NRoJ15dXU6QDqBlDByyWSgSHdwKMP27tkHet7Ur/2lAxdCr/XgmDQMexnCuy3aB21wU+mowtFhBVW15uiinW4+bQARd6Ktx5ZXHWwuasTGbjgDuC9J8yECodwcFoqz4+HR0vNWF8MT0KhsoNZfmB87nJ+3DPFyV6tkmVu28bgPHAfXgykEKS8D7bgVVZqswtNzPueM5d2lwtOIC8/TZbsoOenBQjPGWMbEWuqY4L25sH5zzCFqKWV8msw2+m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2021-10-22T16:03:00Z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