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color w:val="00b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bidi w:val="1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2549"/>
        <w:gridCol w:w="6776"/>
        <w:tblGridChange w:id="0">
          <w:tblGrid>
            <w:gridCol w:w="2549"/>
            <w:gridCol w:w="6776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تنفيذ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الأحكام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القضائية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Law 431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بكالوريوس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المؤسسة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الأمير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سلطان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b w:val="1"/>
          <w:color w:val="c00000"/>
          <w:sz w:val="32"/>
          <w:szCs w:val="32"/>
          <w:rtl w:val="1"/>
        </w:rPr>
        <w:t xml:space="preserve">المحتويات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بالمقرر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ومخرجاته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tl w:val="0"/>
              </w:rPr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tl w:val="0"/>
              </w:rPr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tl w:val="0"/>
              </w:rPr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3.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موضوعات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والتقييم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tl w:val="0"/>
              </w:rPr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ربط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استراتيجيات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وطرق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tl w:val="0"/>
              </w:rPr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الإرشاد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الأكاديمي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والدعم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والمرافق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tl w:val="0"/>
              </w:rPr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tl w:val="0"/>
              </w:rPr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المرافق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والتجهيزات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جودة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اعتماد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التوصيف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bidi w:val="1"/>
            <w:jc w:val="right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</w:t>
      </w:r>
      <w:r w:rsidDel="00000000" w:rsidR="00000000" w:rsidRPr="00000000">
        <w:rPr>
          <w:rtl w:val="0"/>
        </w:rPr>
        <w:t xml:space="preserve">: </w:t>
      </w:r>
    </w:p>
    <w:tbl>
      <w:tblPr>
        <w:tblStyle w:val="Table2"/>
        <w:bidiVisual w:val="1"/>
        <w:tblW w:w="9325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64"/>
        <w:gridCol w:w="696"/>
        <w:gridCol w:w="856"/>
        <w:gridCol w:w="58"/>
        <w:gridCol w:w="213"/>
        <w:gridCol w:w="179"/>
        <w:gridCol w:w="270"/>
        <w:gridCol w:w="504"/>
        <w:gridCol w:w="270"/>
        <w:gridCol w:w="679"/>
        <w:gridCol w:w="270"/>
        <w:gridCol w:w="203"/>
        <w:gridCol w:w="431"/>
        <w:gridCol w:w="270"/>
        <w:gridCol w:w="1941"/>
        <w:gridCol w:w="270"/>
        <w:gridCol w:w="1751"/>
        <w:tblGridChange w:id="0">
          <w:tblGrid>
            <w:gridCol w:w="464"/>
            <w:gridCol w:w="696"/>
            <w:gridCol w:w="856"/>
            <w:gridCol w:w="58"/>
            <w:gridCol w:w="213"/>
            <w:gridCol w:w="179"/>
            <w:gridCol w:w="270"/>
            <w:gridCol w:w="504"/>
            <w:gridCol w:w="270"/>
            <w:gridCol w:w="679"/>
            <w:gridCol w:w="270"/>
            <w:gridCol w:w="203"/>
            <w:gridCol w:w="431"/>
            <w:gridCol w:w="270"/>
            <w:gridCol w:w="1941"/>
            <w:gridCol w:w="270"/>
            <w:gridCol w:w="1751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bidi w:val="1"/>
              <w:rPr>
                <w:b w:val="1"/>
                <w:sz w:val="26"/>
                <w:szCs w:val="2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gridSpan w:val="13"/>
            <w:tcBorders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جامعة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كلية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right"/>
              <w:rPr>
                <w:b w:val="1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B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إجباري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اختياري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2"/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3.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المستوى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07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الرابعة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gridSpan w:val="17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8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Law 221</w:t>
            </w:r>
          </w:p>
          <w:p w:rsidR="00000000" w:rsidDel="00000000" w:rsidP="00000000" w:rsidRDefault="00000000" w:rsidRPr="00000000" w14:paraId="0000009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5.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المتزامنة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يوجد</w:t>
            </w:r>
          </w:p>
          <w:p w:rsidR="00000000" w:rsidDel="00000000" w:rsidP="00000000" w:rsidRDefault="00000000" w:rsidRPr="00000000" w14:paraId="000000B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نمط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ينطبق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9"/>
        <w:gridCol w:w="4014"/>
        <w:gridCol w:w="2404"/>
        <w:gridCol w:w="2404"/>
        <w:tblGridChange w:id="0">
          <w:tblGrid>
            <w:gridCol w:w="749"/>
            <w:gridCol w:w="4014"/>
            <w:gridCol w:w="2404"/>
            <w:gridCol w:w="24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نمط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الدراسة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المحاضرات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التقليدية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DF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7.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ساعات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الاتصال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مستوى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الفصل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الدراسي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823"/>
        <w:gridCol w:w="6378"/>
        <w:gridCol w:w="2370"/>
        <w:tblGridChange w:id="0">
          <w:tblGrid>
            <w:gridCol w:w="823"/>
            <w:gridCol w:w="6378"/>
            <w:gridCol w:w="237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محاضرات</w:t>
            </w:r>
          </w:p>
        </w:tc>
        <w:tc>
          <w:tcPr>
            <w:tcBorders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أستوديو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دروس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إضافية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أخرى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تذكر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F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F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الإجمالي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  <w:right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F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0F3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Style w:val="Heading1"/>
        <w:rPr/>
      </w:pPr>
      <w:bookmarkStart w:colFirst="0" w:colLast="0" w:name="_heading=h.3znysh7" w:id="3"/>
      <w:bookmarkEnd w:id="3"/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ومخرجاته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5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5">
            <w:pPr>
              <w:pStyle w:val="Heading2"/>
              <w:numPr>
                <w:ilvl w:val="0"/>
                <w:numId w:val="5"/>
              </w:numPr>
              <w:bidi w:val="1"/>
              <w:ind w:left="720" w:hanging="360"/>
              <w:rPr/>
            </w:pPr>
            <w:bookmarkStart w:colFirst="0" w:colLast="0" w:name="_heading=h.2et92p0" w:id="4"/>
            <w:bookmarkEnd w:id="4"/>
            <w:r w:rsidDel="00000000" w:rsidR="00000000" w:rsidRPr="00000000">
              <w:rPr>
                <w:rtl w:val="1"/>
              </w:rPr>
              <w:t xml:space="preserve">الوصف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6">
            <w:pPr>
              <w:pStyle w:val="Heading2"/>
              <w:bidi w:val="1"/>
              <w:ind w:firstLine="360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يعتبر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هذا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الجزء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الأخير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منظومة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مقررات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القانون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مرحلة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البكالوريوس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ويشترط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لدراسته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يكون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قد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درس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التنظيم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القضائي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والمرافعات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يتناول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هذا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التعريف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بالتنفيذ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الحقوق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يجوز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التنفيذ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فيها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السلطة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المباشرة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للتنفيذ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أطراف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التنفيذ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أسباب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التنفيذ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السندات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اللازمة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للتنفيذ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التنفيذ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المعجل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وصوره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محل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التنفيذ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الأموال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لا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يجوز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التنفيذ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عليها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إجراءات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حجز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المال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المنقول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الاعتراض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الحجز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حجز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أموال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المدين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لدى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إلغاء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الحجز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وآثار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الإلغاء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التنفيذ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العقار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ومراحل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إتمامه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الحجز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التحفظي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وإجراءاته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وأخير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البيع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الجبري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rtl w:val="1"/>
              </w:rPr>
              <w:t xml:space="preserve">و</w:t>
            </w:r>
            <w:r w:rsidDel="00000000" w:rsidR="00000000" w:rsidRPr="00000000">
              <w:rPr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b w:val="0"/>
                <w:rtl w:val="1"/>
              </w:rPr>
              <w:t xml:space="preserve">الإخلاء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الجبري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9">
            <w:pPr>
              <w:pStyle w:val="Heading2"/>
              <w:bidi w:val="1"/>
              <w:ind w:firstLine="360"/>
              <w:rPr/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2. </w:t>
            </w:r>
            <w:r w:rsidDel="00000000" w:rsidR="00000000" w:rsidRPr="00000000">
              <w:rPr>
                <w:rtl w:val="1"/>
              </w:rPr>
              <w:t xml:space="preserve">الهدف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الرئيس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A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بكالوريوس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جامعة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الأمير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سلطان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يهدف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للتعريف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بالسلطة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القضائية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التنفيذية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واختصاصها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وصلاحيتها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بالتنفيذ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الجبري</w:t>
            </w:r>
            <w:r w:rsidDel="00000000" w:rsidR="00000000" w:rsidRPr="00000000">
              <w:rPr>
                <w:b w:val="1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rtl w:val="1"/>
              </w:rPr>
              <w:t xml:space="preserve">أيضا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يهدف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بالتعريف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بقانون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التنفيذ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وتحديد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طبيعة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قواعده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والتعريف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بالسند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التنفيذي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أقسامه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وأنواعه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وإجراءاته</w:t>
            </w:r>
            <w:r w:rsidDel="00000000" w:rsidR="00000000" w:rsidRPr="00000000">
              <w:rPr>
                <w:b w:val="1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rtl w:val="1"/>
              </w:rPr>
              <w:t xml:space="preserve">والحجز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أموال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وبيعها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وأخيرا</w:t>
            </w:r>
            <w:r w:rsidDel="00000000" w:rsidR="00000000" w:rsidRPr="00000000">
              <w:rPr>
                <w:b w:val="1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rtl w:val="1"/>
              </w:rPr>
              <w:t xml:space="preserve">المسائل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الفرعية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المتعلقة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بفرض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العقوبات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المماطلة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والامتناع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التنفيذ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B">
            <w:pPr>
              <w:bidi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bidi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pStyle w:val="Heading2"/>
        <w:bidi w:val="1"/>
        <w:ind w:firstLine="360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6"/>
        <w:bidiVisual w:val="1"/>
        <w:tblW w:w="9571.0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8" w:val="single"/>
          <w:insideV w:color="ffffff" w:space="0" w:sz="4" w:val="single"/>
        </w:tblBorders>
        <w:tblLayout w:type="fixed"/>
        <w:tblLook w:val="0400"/>
      </w:tblPr>
      <w:tblGrid>
        <w:gridCol w:w="603"/>
        <w:gridCol w:w="7341"/>
        <w:gridCol w:w="1627"/>
        <w:tblGridChange w:id="0">
          <w:tblGrid>
            <w:gridCol w:w="603"/>
            <w:gridCol w:w="7341"/>
            <w:gridCol w:w="162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FE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0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01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مخرج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المرتبط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للبرنامج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0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0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0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5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6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يعرف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الإطار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العام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لنظام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قضاء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التنفيذ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9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C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0F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1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12">
            <w:pPr>
              <w:bidi w:val="1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المهارات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1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4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5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يميز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أنواع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السندات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التنفيذية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ويحدد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اختصاص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قاضي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التنفيذ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بها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والتوصل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الى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الاستنتاجات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المناسبة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8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يطبق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النصوص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المسائل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العملية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B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يقارن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وسائل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الإكراه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التنفيذ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الجبري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السندات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التنفيذية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التحليل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المناسب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2.4.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1E">
            <w:pPr>
              <w:bidi w:val="1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يعد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البحوث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والتقارير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المواضيع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4</w:t>
            </w:r>
          </w:p>
          <w:p w:rsidR="00000000" w:rsidDel="00000000" w:rsidP="00000000" w:rsidRDefault="00000000" w:rsidRPr="00000000" w14:paraId="0000012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2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2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2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4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5">
            <w:pPr>
              <w:bidi w:val="1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يتعاون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زملائه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المهمات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الفردية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والجماعية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احترام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أهمية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تنفيذ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لتجسيد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العدالة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المجتمع</w:t>
            </w:r>
            <w:r w:rsidDel="00000000" w:rsidR="00000000" w:rsidRPr="00000000">
              <w:rPr>
                <w:rtl w:val="1"/>
              </w:rPr>
              <w:t xml:space="preserve"> 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bidi w:val="1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Style w:val="Heading1"/>
        <w:rPr/>
      </w:pPr>
      <w:bookmarkStart w:colFirst="0" w:colLast="0" w:name="_heading=h.4d34og8" w:id="8"/>
      <w:bookmarkEnd w:id="8"/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موضوعات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"/>
        <w:gridCol w:w="7655"/>
        <w:gridCol w:w="1378"/>
        <w:tblGridChange w:id="0">
          <w:tblGrid>
            <w:gridCol w:w="538"/>
            <w:gridCol w:w="7655"/>
            <w:gridCol w:w="1378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2">
            <w:pPr>
              <w:bidi w:val="1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قائمة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الموضوعات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4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الاتصال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وأنواعه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وسائل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الإكراه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الجبري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أطراف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الجبري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الجبري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سندات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التحفظ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أموال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والتنفيذ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عليها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1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البيع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القضائي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لأموال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المدين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4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المجموع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4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14D">
      <w:pPr>
        <w:bidi w:val="1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Style w:val="Heading1"/>
        <w:rPr/>
      </w:pPr>
      <w:bookmarkStart w:colFirst="0" w:colLast="0" w:name="_heading=h.2s8eyo1" w:id="9"/>
      <w:bookmarkEnd w:id="9"/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والتقييم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14F">
      <w:pPr>
        <w:pStyle w:val="Heading2"/>
        <w:bidi w:val="1"/>
        <w:ind w:firstLine="360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 </w:t>
      </w:r>
      <w:r w:rsidDel="00000000" w:rsidR="00000000" w:rsidRPr="00000000">
        <w:rPr>
          <w:rtl w:val="1"/>
        </w:rPr>
        <w:t xml:space="preserve">ربط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استراتيجيات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التقييم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8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8" w:val="single"/>
        </w:tblBorders>
        <w:tblLayout w:type="fixed"/>
        <w:tblLook w:val="0400"/>
      </w:tblPr>
      <w:tblGrid>
        <w:gridCol w:w="853"/>
        <w:gridCol w:w="3997"/>
        <w:gridCol w:w="2437"/>
        <w:gridCol w:w="2284"/>
        <w:tblGridChange w:id="0">
          <w:tblGrid>
            <w:gridCol w:w="853"/>
            <w:gridCol w:w="3997"/>
            <w:gridCol w:w="2437"/>
            <w:gridCol w:w="2284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0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الرمز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1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2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54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55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5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59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تصف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الإطار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العام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لنظام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قضاء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التنفيذ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المناقشات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الاطلاع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الخارجي</w:t>
            </w:r>
          </w:p>
          <w:p w:rsidR="00000000" w:rsidDel="00000000" w:rsidP="00000000" w:rsidRDefault="00000000" w:rsidRPr="00000000" w14:paraId="0000015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الاسئلة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الشفهية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القصيرة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الشهرية</w:t>
            </w:r>
          </w:p>
          <w:p w:rsidR="00000000" w:rsidDel="00000000" w:rsidP="00000000" w:rsidRDefault="00000000" w:rsidRPr="00000000" w14:paraId="0000016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C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70">
            <w:pPr>
              <w:bidi w:val="1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تميز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أنواع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السندات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التنفيذية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ومدى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اختصاص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قاضي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التنفيذ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بها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72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التدريب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76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المناقشات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78">
            <w:pPr>
              <w:bidi w:val="1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يطبق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النصوص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المسائل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العملية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7A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التدريب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7E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المناقشات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80">
            <w:pPr>
              <w:bidi w:val="1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تشرح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خطوات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رفع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طلب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التنفيذ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والإجراءات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الواجب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اتباعها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لاستصدار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حكم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التنفيذ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الجبري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8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83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التدريب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87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المناقشات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89">
            <w:pPr>
              <w:bidi w:val="1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يعد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البحوث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والتقارير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المواضيع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8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18B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عرض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التكاليف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ومناقشتها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8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المهمات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المنزلية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8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90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4">
            <w:pPr>
              <w:bidi w:val="1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يتعاون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المهمات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الفردية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والجماعية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9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196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عرض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التكاليف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ومناقشتها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الأعمال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</w:p>
          <w:p w:rsidR="00000000" w:rsidDel="00000000" w:rsidP="00000000" w:rsidRDefault="00000000" w:rsidRPr="00000000" w14:paraId="0000019A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تقويم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قائد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الفريق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البحثي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أو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النقاشي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3">
      <w:pPr>
        <w:pStyle w:val="Heading2"/>
        <w:bidi w:val="1"/>
        <w:ind w:firstLine="360"/>
        <w:rPr/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الطلبة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9"/>
        <w:bidiVisual w:val="1"/>
        <w:tblW w:w="9582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1.9999999999993"/>
        <w:gridCol w:w="5550"/>
        <w:gridCol w:w="1422"/>
        <w:gridCol w:w="2178.0000000000005"/>
        <w:tblGridChange w:id="0">
          <w:tblGrid>
            <w:gridCol w:w="431.9999999999993"/>
            <w:gridCol w:w="5550"/>
            <w:gridCol w:w="1422"/>
            <w:gridCol w:w="2178.00000000000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A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A5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A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توقيت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</w:p>
          <w:p w:rsidR="00000000" w:rsidDel="00000000" w:rsidP="00000000" w:rsidRDefault="00000000" w:rsidRPr="00000000" w14:paraId="000001A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A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A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B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الفصلي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الأول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C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السادس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AD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F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الفصلي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الثاني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0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التاسع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1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3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المهمات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4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الخامس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العاشر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5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الورقة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البحثية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8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الخامس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العاشر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النهائي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السادس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عشر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C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2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أنشطة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التقييم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اختبار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تحريري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شفهي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عرض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تقديمي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مشروع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جماعي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ورقة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الخ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C3">
      <w:pPr>
        <w:pStyle w:val="Heading1"/>
        <w:rPr/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Style w:val="Heading1"/>
        <w:rPr/>
      </w:pP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الإرشاد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الأكاديمي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الطلابي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10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rHeight w:val="1298" w:hRule="atLeast"/>
          <w:tblHeader w:val="0"/>
        </w:trPr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يقوم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ببيان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الصاقه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يبين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تواجده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بإمكان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يحضر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وقت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إلصاق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اسماء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يخضعون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لإشراف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مكتبه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ايضا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C6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Style w:val="Heading1"/>
        <w:rPr/>
      </w:pPr>
      <w:bookmarkStart w:colFirst="0" w:colLast="0" w:name="_heading=h.lnxbz9" w:id="13"/>
      <w:bookmarkEnd w:id="13"/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والمرافق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1C8">
      <w:pPr>
        <w:pStyle w:val="Heading2"/>
        <w:bidi w:val="1"/>
        <w:ind w:firstLine="360"/>
        <w:rPr/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قائمة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1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400"/>
      </w:tblPr>
      <w:tblGrid>
        <w:gridCol w:w="2603"/>
        <w:gridCol w:w="6968"/>
        <w:tblGridChange w:id="0">
          <w:tblGrid>
            <w:gridCol w:w="2603"/>
            <w:gridCol w:w="6968"/>
          </w:tblGrid>
        </w:tblGridChange>
      </w:tblGrid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الرئيس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للمقرر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الوسيط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التنفيذ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مفلح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القحطاني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محمد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رفاعي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دار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الإجادة</w:t>
            </w:r>
          </w:p>
          <w:p w:rsidR="00000000" w:rsidDel="00000000" w:rsidP="00000000" w:rsidRDefault="00000000" w:rsidRPr="00000000" w14:paraId="000001C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C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المساندة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C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أصول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التنفيذ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الجبري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وفقا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التنفيذ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ولائحته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التنفيذية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الجديدة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هشام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موفق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عوض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جمال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</w:t>
            </w:r>
            <w:r w:rsidDel="00000000" w:rsidR="00000000" w:rsidRPr="00000000">
              <w:rPr>
                <w:rtl w:val="1"/>
              </w:rPr>
              <w:t xml:space="preserve">، 1443- 2021.</w:t>
            </w:r>
          </w:p>
          <w:p w:rsidR="00000000" w:rsidDel="00000000" w:rsidP="00000000" w:rsidRDefault="00000000" w:rsidRPr="00000000" w14:paraId="000001C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التنفيذ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تأليف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الدكتور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عبد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العزيز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الشبرمي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قاضي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التنفيذ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بالمحكمة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المكرمة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سابقا</w:t>
            </w:r>
            <w:r w:rsidDel="00000000" w:rsidR="00000000" w:rsidRPr="00000000">
              <w:rPr>
                <w:rtl w:val="1"/>
              </w:rPr>
              <w:t xml:space="preserve">ً-</w:t>
            </w:r>
            <w:r w:rsidDel="00000000" w:rsidR="00000000" w:rsidRPr="00000000">
              <w:rPr>
                <w:rtl w:val="1"/>
              </w:rPr>
              <w:t xml:space="preserve">مدار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الوطن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للنشر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C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المصادر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color="000000" w:space="1" w:sz="4" w:val="single"/>
                <w:left w:color="000000" w:space="4" w:sz="4" w:val="single"/>
                <w:bottom w:space="0" w:sz="0" w:val="nil"/>
                <w:right w:color="000000" w:space="4" w:sz="4" w:val="single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يستعين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بالمواقع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الإلكترونية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D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أستاذ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الجامعة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يحتوي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النظامية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والقانونية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D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D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مدونة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D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https://www.moj.gov.sa/ar-sa/ministry/versions/Documents/50.pdf</w:t>
            </w:r>
          </w:p>
        </w:tc>
      </w:tr>
    </w:tbl>
    <w:p w:rsidR="00000000" w:rsidDel="00000000" w:rsidP="00000000" w:rsidRDefault="00000000" w:rsidRPr="00000000" w14:paraId="000001D6">
      <w:pPr>
        <w:pStyle w:val="Heading2"/>
        <w:bidi w:val="1"/>
        <w:ind w:firstLine="360"/>
        <w:rPr/>
      </w:pPr>
      <w:bookmarkStart w:colFirst="0" w:colLast="0" w:name="_heading=h.1ksv4uv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Style w:val="Heading2"/>
        <w:bidi w:val="1"/>
        <w:ind w:firstLine="360"/>
        <w:rPr/>
      </w:pPr>
      <w:bookmarkStart w:colFirst="0" w:colLast="0" w:name="_heading=h.44sinio" w:id="16"/>
      <w:bookmarkEnd w:id="16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المرافق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والتجهيزات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2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840"/>
        <w:gridCol w:w="5731"/>
        <w:tblGridChange w:id="0">
          <w:tblGrid>
            <w:gridCol w:w="3840"/>
            <w:gridCol w:w="5731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D8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العناصر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D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D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المرافق</w:t>
            </w:r>
          </w:p>
          <w:p w:rsidR="00000000" w:rsidDel="00000000" w:rsidP="00000000" w:rsidRDefault="00000000" w:rsidRPr="00000000" w14:paraId="000001D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الدراسية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المختبرات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العرض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المحاكاة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...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إلخ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D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قاعة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المحاضرات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تتسع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لـ</w:t>
            </w:r>
            <w:r w:rsidDel="00000000" w:rsidR="00000000" w:rsidRPr="00000000">
              <w:rPr>
                <w:rtl w:val="1"/>
              </w:rPr>
              <w:t xml:space="preserve"> 30 </w:t>
            </w:r>
            <w:r w:rsidDel="00000000" w:rsidR="00000000" w:rsidRPr="00000000">
              <w:rPr>
                <w:rtl w:val="1"/>
              </w:rPr>
              <w:t xml:space="preserve">طالب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D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التجهيزات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التقنية</w:t>
            </w:r>
          </w:p>
          <w:p w:rsidR="00000000" w:rsidDel="00000000" w:rsidP="00000000" w:rsidRDefault="00000000" w:rsidRPr="00000000" w14:paraId="000001D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جهاز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عرض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البيانات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السبورة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الذكية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البرمجيات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D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تتوفر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مجهزة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بالاتصال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بالإنترنت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بالإضافة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أجهزة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كمبيوتر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أكثر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الجامعة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لخدمة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تجهيزات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تبعا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ً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لطبيعة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التخصص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تجهيز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الفصول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بالسمارت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بورد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والبروجكترات</w:t>
            </w:r>
            <w:r w:rsidDel="00000000" w:rsidR="00000000" w:rsidRPr="00000000">
              <w:rPr>
                <w:rtl w:val="1"/>
              </w:rPr>
              <w:t xml:space="preserve"> .</w:t>
            </w:r>
          </w:p>
        </w:tc>
      </w:tr>
    </w:tbl>
    <w:p w:rsidR="00000000" w:rsidDel="00000000" w:rsidP="00000000" w:rsidRDefault="00000000" w:rsidRPr="00000000" w14:paraId="000001E2">
      <w:pPr>
        <w:pStyle w:val="Heading1"/>
        <w:rPr/>
      </w:pPr>
      <w:bookmarkStart w:colFirst="0" w:colLast="0" w:name="_heading=h.2jxsxqh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pStyle w:val="Heading1"/>
        <w:rPr/>
      </w:pP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تقويم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13"/>
        <w:bidiVisual w:val="1"/>
        <w:tblW w:w="9571.000000000002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156"/>
        <w:gridCol w:w="3268"/>
        <w:gridCol w:w="3147"/>
        <w:tblGridChange w:id="0">
          <w:tblGrid>
            <w:gridCol w:w="3156"/>
            <w:gridCol w:w="3268"/>
            <w:gridCol w:w="3147"/>
          </w:tblGrid>
        </w:tblGridChange>
      </w:tblGrid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E4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مجالات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E5">
            <w:pPr>
              <w:bidi w:val="1"/>
              <w:jc w:val="center"/>
              <w:rPr/>
            </w:pPr>
            <w:bookmarkStart w:colFirst="0" w:colLast="0" w:name="_heading=h.z337ya" w:id="18"/>
            <w:bookmarkEnd w:id="18"/>
            <w:r w:rsidDel="00000000" w:rsidR="00000000" w:rsidRPr="00000000">
              <w:rPr>
                <w:b w:val="1"/>
                <w:rtl w:val="1"/>
              </w:rPr>
              <w:t xml:space="preserve">المقيمون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E6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bidi w:val="1"/>
              <w:jc w:val="both"/>
              <w:rPr/>
            </w:pPr>
            <w:bookmarkStart w:colFirst="0" w:colLast="0" w:name="_heading=h.3j2qqm3" w:id="19"/>
            <w:bookmarkEnd w:id="19"/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التدريس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E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الزملاء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E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peer observation))</w:t>
            </w:r>
          </w:p>
          <w:p w:rsidR="00000000" w:rsidDel="00000000" w:rsidP="00000000" w:rsidRDefault="00000000" w:rsidRPr="00000000" w14:paraId="000001E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السنوي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E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الزملاء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E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  <w:p w:rsidR="00000000" w:rsidDel="00000000" w:rsidP="00000000" w:rsidRDefault="00000000" w:rsidRPr="00000000" w14:paraId="000001E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أساليب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تحصيل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استبيان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نهاية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جودة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3">
      <w:pPr>
        <w:bidi w:val="1"/>
        <w:rPr>
          <w:color w:val="c00000"/>
          <w:sz w:val="20"/>
          <w:szCs w:val="20"/>
        </w:rPr>
      </w:pPr>
      <w:bookmarkStart w:colFirst="0" w:colLast="0" w:name="_heading=h.1y810tw" w:id="20"/>
      <w:bookmarkEnd w:id="20"/>
      <w:r w:rsidDel="00000000" w:rsidR="00000000" w:rsidRPr="00000000">
        <w:rPr>
          <w:color w:val="c00000"/>
          <w:sz w:val="20"/>
          <w:szCs w:val="20"/>
          <w:rtl w:val="1"/>
        </w:rPr>
        <w:t xml:space="preserve">مجالات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التقويم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مثل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فاعلية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فاعلة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طرق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تقييم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الطلاب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مدى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تحصيل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مخرجات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للمقرر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مصادر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... </w:t>
      </w:r>
      <w:r w:rsidDel="00000000" w:rsidR="00000000" w:rsidRPr="00000000">
        <w:rPr>
          <w:sz w:val="20"/>
          <w:szCs w:val="20"/>
          <w:rtl w:val="1"/>
        </w:rPr>
        <w:t xml:space="preserve">إلخ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bidi w:val="1"/>
        <w:rPr>
          <w:sz w:val="20"/>
          <w:szCs w:val="20"/>
        </w:rPr>
      </w:pPr>
      <w:bookmarkStart w:colFirst="0" w:colLast="0" w:name="_heading=h.4i7ojhp" w:id="21"/>
      <w:bookmarkEnd w:id="21"/>
      <w:r w:rsidDel="00000000" w:rsidR="00000000" w:rsidRPr="00000000">
        <w:rPr>
          <w:color w:val="c00000"/>
          <w:sz w:val="20"/>
          <w:szCs w:val="20"/>
          <w:rtl w:val="1"/>
        </w:rPr>
        <w:t xml:space="preserve">المقيمون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الطلبة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أعضاء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هيئة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قيادات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البرنامج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المراجع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النظير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أخرى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يتم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تحديدها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205">
      <w:pPr>
        <w:bidi w:val="1"/>
        <w:rPr>
          <w:color w:val="c00000"/>
          <w:sz w:val="20"/>
          <w:szCs w:val="20"/>
        </w:rPr>
      </w:pPr>
      <w:r w:rsidDel="00000000" w:rsidR="00000000" w:rsidRPr="00000000">
        <w:rPr>
          <w:color w:val="c00000"/>
          <w:sz w:val="20"/>
          <w:szCs w:val="20"/>
          <w:rtl w:val="1"/>
        </w:rPr>
        <w:t xml:space="preserve">طرق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التقييم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وغير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bidi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Style w:val="Heading1"/>
        <w:rPr/>
      </w:pPr>
      <w:bookmarkStart w:colFirst="0" w:colLast="0" w:name="_heading=h.2xcytpi" w:id="22"/>
      <w:bookmarkEnd w:id="22"/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التوصيف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4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600"/>
      </w:tblPr>
      <w:tblGrid>
        <w:gridCol w:w="1792"/>
        <w:gridCol w:w="7533"/>
        <w:tblGridChange w:id="0">
          <w:tblGrid>
            <w:gridCol w:w="1792"/>
            <w:gridCol w:w="7533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08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جهة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الاعتماد</w:t>
            </w:r>
          </w:p>
        </w:tc>
        <w:tc>
          <w:tcPr/>
          <w:p w:rsidR="00000000" w:rsidDel="00000000" w:rsidP="00000000" w:rsidRDefault="00000000" w:rsidRPr="00000000" w14:paraId="00000209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المناهج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الدراسية</w:t>
            </w:r>
          </w:p>
          <w:p w:rsidR="00000000" w:rsidDel="00000000" w:rsidP="00000000" w:rsidRDefault="00000000" w:rsidRPr="00000000" w14:paraId="0000020A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القسم</w:t>
            </w:r>
          </w:p>
          <w:p w:rsidR="00000000" w:rsidDel="00000000" w:rsidP="00000000" w:rsidRDefault="00000000" w:rsidRPr="00000000" w14:paraId="0000020B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0C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0D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الجلسة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الخامسة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21/22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0E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0F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21/2/2022</w:t>
            </w:r>
          </w:p>
        </w:tc>
      </w:tr>
    </w:tbl>
    <w:p w:rsidR="00000000" w:rsidDel="00000000" w:rsidP="00000000" w:rsidRDefault="00000000" w:rsidRPr="00000000" w14:paraId="00000210">
      <w:pPr>
        <w:bidi w:val="1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even"/>
      <w:pgSz w:h="16840" w:w="11907" w:orient="portrait"/>
      <w:pgMar w:bottom="1418" w:top="1134" w:left="1134" w:right="141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-371028</wp:posOffset>
          </wp:positionV>
          <wp:extent cx="7313289" cy="761800"/>
          <wp:effectExtent b="0" l="0" r="0" t="0"/>
          <wp:wrapNone/>
          <wp:docPr id="1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3289" cy="761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056440" y="3579975"/>
                        <a:ext cx="57912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 Next LT W23" w:cs="DIN Next LT W23" w:eastAsia="DIN Next LT W23" w:hAnsi="DIN Next LT W23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 PAGE   \* MERGEFORMAT 4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817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-547419</wp:posOffset>
          </wp:positionH>
          <wp:positionV relativeFrom="paragraph">
            <wp:posOffset>-72464</wp:posOffset>
          </wp:positionV>
          <wp:extent cx="7127737" cy="10080000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right"/>
    </w:pPr>
    <w:rPr>
      <w:rFonts w:ascii="Arial" w:cs="Arial" w:eastAsia="Arial" w:hAnsi="Arial"/>
      <w:b w:val="1"/>
      <w:color w:val="273444"/>
      <w:sz w:val="22"/>
      <w:szCs w:val="22"/>
    </w:rPr>
  </w:style>
  <w:style w:type="paragraph" w:styleId="Heading2">
    <w:name w:val="heading 2"/>
    <w:basedOn w:val="Normal"/>
    <w:next w:val="Normal"/>
    <w:pPr>
      <w:keepNext w:val="1"/>
      <w:bidi w:val="1"/>
      <w:ind w:left="360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right"/>
    </w:pPr>
    <w:rPr>
      <w:rFonts w:ascii="Arial" w:cs="Arial" w:eastAsia="Arial" w:hAnsi="Arial"/>
      <w:b w:val="1"/>
      <w:color w:val="273444"/>
      <w:sz w:val="22"/>
      <w:szCs w:val="22"/>
    </w:rPr>
  </w:style>
  <w:style w:type="paragraph" w:styleId="Heading2">
    <w:name w:val="heading 2"/>
    <w:basedOn w:val="Normal"/>
    <w:next w:val="Normal"/>
    <w:pPr>
      <w:keepNext w:val="1"/>
      <w:bidi w:val="1"/>
      <w:ind w:left="360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  <w:qFormat w:val="1"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 w:val="1"/>
    <w:qFormat w:val="1"/>
    <w:rsid w:val="001C3FF9"/>
    <w:pPr>
      <w:keepNext w:val="1"/>
      <w:spacing w:after="60" w:line="312" w:lineRule="atLeast"/>
      <w:jc w:val="right"/>
      <w:outlineLvl w:val="0"/>
    </w:pPr>
    <w:rPr>
      <w:rFonts w:ascii="Arial" w:cs="Arial" w:hAnsi="Arial"/>
      <w:b w:val="1"/>
      <w:bCs w:val="1"/>
      <w:color w:val="273444"/>
      <w:sz w:val="22"/>
      <w:szCs w:val="22"/>
      <w:lang w:bidi="ar-EG"/>
    </w:rPr>
  </w:style>
  <w:style w:type="paragraph" w:styleId="Heading2">
    <w:name w:val="heading 2"/>
    <w:basedOn w:val="Normal"/>
    <w:next w:val="Normal"/>
    <w:link w:val="Heading2Char"/>
    <w:autoRedefine w:val="1"/>
    <w:qFormat w:val="1"/>
    <w:rsid w:val="00621133"/>
    <w:pPr>
      <w:keepNext w:val="1"/>
      <w:bidi w:val="1"/>
      <w:ind w:left="360"/>
      <w:jc w:val="both"/>
      <w:outlineLvl w:val="1"/>
    </w:pPr>
    <w:rPr>
      <w:rFonts w:asciiTheme="majorBidi" w:cstheme="majorBidi" w:hAnsiTheme="majorBidi"/>
      <w:b w:val="1"/>
      <w:bCs w:val="1"/>
    </w:rPr>
  </w:style>
  <w:style w:type="paragraph" w:styleId="Heading3">
    <w:name w:val="heading 3"/>
    <w:basedOn w:val="Normal"/>
    <w:next w:val="Normal"/>
    <w:link w:val="Heading3Char"/>
    <w:qFormat w:val="1"/>
    <w:rsid w:val="00B1176F"/>
    <w:pPr>
      <w:keepNext w:val="1"/>
      <w:jc w:val="center"/>
      <w:outlineLvl w:val="2"/>
    </w:pPr>
    <w:rPr>
      <w:b w:val="1"/>
      <w:bCs w:val="1"/>
      <w:sz w:val="32"/>
    </w:rPr>
  </w:style>
  <w:style w:type="paragraph" w:styleId="Heading4">
    <w:name w:val="heading 4"/>
    <w:basedOn w:val="Normal"/>
    <w:next w:val="Normal"/>
    <w:link w:val="Heading4Char"/>
    <w:qFormat w:val="1"/>
    <w:rsid w:val="00B1176F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qFormat w:val="1"/>
    <w:rsid w:val="00B1176F"/>
    <w:pPr>
      <w:keepNext w:val="1"/>
      <w:ind w:left="446" w:hanging="446"/>
      <w:outlineLvl w:val="4"/>
    </w:pPr>
    <w:rPr>
      <w:b w:val="1"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 w:val="1"/>
    <w:rsid w:val="00B1176F"/>
    <w:pPr>
      <w:keepNext w:val="1"/>
      <w:outlineLvl w:val="5"/>
    </w:pPr>
    <w:rPr>
      <w:b w:val="1"/>
      <w:bCs w:val="1"/>
      <w:szCs w:val="28"/>
    </w:rPr>
  </w:style>
  <w:style w:type="paragraph" w:styleId="Heading7">
    <w:name w:val="heading 7"/>
    <w:basedOn w:val="Normal"/>
    <w:next w:val="Normal"/>
    <w:link w:val="Heading7Char"/>
    <w:qFormat w:val="1"/>
    <w:rsid w:val="00B1176F"/>
    <w:pPr>
      <w:spacing w:after="60" w:before="240"/>
      <w:outlineLvl w:val="6"/>
    </w:pPr>
  </w:style>
  <w:style w:type="paragraph" w:styleId="Heading8">
    <w:name w:val="heading 8"/>
    <w:basedOn w:val="Normal"/>
    <w:next w:val="Normal"/>
    <w:link w:val="Heading8Char"/>
    <w:qFormat w:val="1"/>
    <w:rsid w:val="00B1176F"/>
    <w:pPr>
      <w:spacing w:after="60" w:before="240"/>
      <w:outlineLvl w:val="7"/>
    </w:pPr>
    <w:rPr>
      <w:i w:val="1"/>
      <w:iCs w:val="1"/>
    </w:rPr>
  </w:style>
  <w:style w:type="paragraph" w:styleId="Heading9">
    <w:name w:val="heading 9"/>
    <w:basedOn w:val="Normal"/>
    <w:next w:val="Normal"/>
    <w:link w:val="Heading9Char"/>
    <w:qFormat w:val="1"/>
    <w:rsid w:val="00B1176F"/>
    <w:pPr>
      <w:spacing w:after="60" w:before="240"/>
      <w:outlineLvl w:val="8"/>
    </w:pPr>
    <w:rPr>
      <w:rFonts w:ascii="Arial" w:hAnsi="Arial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 w:val="1"/>
      <w:bCs w:val="1"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 w:val="1"/>
      <w:bCs w:val="1"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 w:val="1"/>
    <w:rsid w:val="00B1176F"/>
    <w:rPr>
      <w:b w:val="1"/>
      <w:bCs w:val="1"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color="auto" w:fill="000080" w:val="clear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 w:val="1"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 w:val="1"/>
    <w:rsid w:val="00FC79D1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FC79D1"/>
    <w:rPr>
      <w:rFonts w:ascii="Tahoma" w:cs="Tahoma" w:hAnsi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 w:val="1"/>
    <w:rsid w:val="00A37EA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DB194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470372"/>
    <w:pPr>
      <w:keepLines w:val="1"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7D4EF1"/>
    <w:pPr>
      <w:tabs>
        <w:tab w:val="right" w:leader="dot" w:pos="8630"/>
      </w:tabs>
      <w:bidi w:val="1"/>
      <w:spacing w:after="100"/>
    </w:pPr>
    <w:rPr>
      <w:b w:val="1"/>
      <w:bCs w:val="1"/>
      <w:noProof w:val="1"/>
      <w:lang w:bidi="ar-EG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470372"/>
    <w:pPr>
      <w:spacing w:after="100"/>
      <w:ind w:left="480"/>
    </w:pPr>
  </w:style>
  <w:style w:type="character" w:styleId="Hyperlink">
    <w:name w:val="Hyperlink"/>
    <w:uiPriority w:val="99"/>
    <w:unhideWhenUsed w:val="1"/>
    <w:rsid w:val="00470372"/>
    <w:rPr>
      <w:color w:val="0000ff"/>
      <w:u w:val="single"/>
    </w:rPr>
  </w:style>
  <w:style w:type="character" w:styleId="FooterChar" w:customStyle="1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 w:val="1"/>
    <w:rsid w:val="00E54C65"/>
    <w:rPr>
      <w:b w:val="1"/>
      <w:bCs w:val="1"/>
    </w:rPr>
  </w:style>
  <w:style w:type="character" w:styleId="Heading3Char" w:customStyle="1">
    <w:name w:val="Heading 3 Char"/>
    <w:link w:val="Heading3"/>
    <w:rsid w:val="00A3606A"/>
    <w:rPr>
      <w:b w:val="1"/>
      <w:bCs w:val="1"/>
      <w:sz w:val="32"/>
      <w:szCs w:val="24"/>
    </w:rPr>
  </w:style>
  <w:style w:type="character" w:styleId="HeaderChar" w:customStyle="1">
    <w:name w:val="Header Char"/>
    <w:link w:val="Header"/>
    <w:uiPriority w:val="99"/>
    <w:rsid w:val="00A3606A"/>
    <w:rPr>
      <w:sz w:val="24"/>
      <w:szCs w:val="24"/>
    </w:rPr>
  </w:style>
  <w:style w:type="character" w:styleId="Heading7Char" w:customStyle="1">
    <w:name w:val="Heading 7 Char"/>
    <w:link w:val="Heading7"/>
    <w:rsid w:val="00886520"/>
    <w:rPr>
      <w:sz w:val="24"/>
      <w:szCs w:val="24"/>
    </w:rPr>
  </w:style>
  <w:style w:type="character" w:styleId="BodyTextChar" w:customStyle="1">
    <w:name w:val="Body Text Char"/>
    <w:link w:val="BodyText"/>
    <w:rsid w:val="00886520"/>
    <w:rPr>
      <w:b w:val="1"/>
      <w:bCs w:val="1"/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rsid w:val="00886520"/>
  </w:style>
  <w:style w:type="character" w:styleId="SubtitleChar" w:customStyle="1">
    <w:name w:val="Subtitle Char"/>
    <w:link w:val="Subtitle"/>
    <w:rsid w:val="00886520"/>
    <w:rPr>
      <w:b w:val="1"/>
      <w:bCs w:val="1"/>
      <w:sz w:val="28"/>
      <w:szCs w:val="28"/>
    </w:rPr>
  </w:style>
  <w:style w:type="paragraph" w:styleId="yiv2125367492msonormal" w:customStyle="1">
    <w:name w:val="yiv2125367492msonormal"/>
    <w:basedOn w:val="Normal"/>
    <w:rsid w:val="00D47DF9"/>
    <w:pPr>
      <w:spacing w:after="100" w:afterAutospacing="1" w:before="100" w:beforeAutospacing="1"/>
    </w:pPr>
  </w:style>
  <w:style w:type="character" w:styleId="TitleChar" w:customStyle="1">
    <w:name w:val="Title Char"/>
    <w:link w:val="Title"/>
    <w:rsid w:val="00D47DF9"/>
    <w:rPr>
      <w:sz w:val="32"/>
      <w:szCs w:val="32"/>
      <w:lang w:val="en-GB"/>
    </w:rPr>
  </w:style>
  <w:style w:type="character" w:styleId="Heading1Char" w:customStyle="1">
    <w:name w:val="Heading 1 Char"/>
    <w:link w:val="Heading1"/>
    <w:rsid w:val="001C3FF9"/>
    <w:rPr>
      <w:rFonts w:ascii="Arial" w:cs="Arial" w:hAnsi="Arial"/>
      <w:b w:val="1"/>
      <w:bCs w:val="1"/>
      <w:color w:val="273444"/>
      <w:sz w:val="22"/>
      <w:szCs w:val="22"/>
      <w:lang w:bidi="ar-EG"/>
    </w:rPr>
  </w:style>
  <w:style w:type="character" w:styleId="Heading2Char" w:customStyle="1">
    <w:name w:val="Heading 2 Char"/>
    <w:link w:val="Heading2"/>
    <w:rsid w:val="00621133"/>
    <w:rPr>
      <w:rFonts w:asciiTheme="majorBidi" w:cstheme="majorBidi" w:hAnsiTheme="majorBidi"/>
      <w:b w:val="1"/>
      <w:bCs w:val="1"/>
      <w:sz w:val="24"/>
      <w:szCs w:val="24"/>
    </w:rPr>
  </w:style>
  <w:style w:type="character" w:styleId="Heading4Char" w:customStyle="1">
    <w:name w:val="Heading 4 Char"/>
    <w:link w:val="Heading4"/>
    <w:rsid w:val="00D47DF9"/>
    <w:rPr>
      <w:b w:val="1"/>
      <w:bCs w:val="1"/>
      <w:sz w:val="28"/>
      <w:szCs w:val="28"/>
    </w:rPr>
  </w:style>
  <w:style w:type="character" w:styleId="Heading5Char" w:customStyle="1">
    <w:name w:val="Heading 5 Char"/>
    <w:link w:val="Heading5"/>
    <w:rsid w:val="00D47DF9"/>
    <w:rPr>
      <w:b w:val="1"/>
      <w:sz w:val="24"/>
      <w:szCs w:val="28"/>
      <w:lang w:bidi="ar-EG"/>
    </w:rPr>
  </w:style>
  <w:style w:type="character" w:styleId="Heading6Char" w:customStyle="1">
    <w:name w:val="Heading 6 Char"/>
    <w:link w:val="Heading6"/>
    <w:rsid w:val="00D47DF9"/>
    <w:rPr>
      <w:b w:val="1"/>
      <w:bCs w:val="1"/>
      <w:sz w:val="24"/>
      <w:szCs w:val="28"/>
    </w:rPr>
  </w:style>
  <w:style w:type="character" w:styleId="Heading8Char" w:customStyle="1">
    <w:name w:val="Heading 8 Char"/>
    <w:link w:val="Heading8"/>
    <w:rsid w:val="00D47DF9"/>
    <w:rPr>
      <w:i w:val="1"/>
      <w:iCs w:val="1"/>
      <w:sz w:val="24"/>
      <w:szCs w:val="24"/>
    </w:rPr>
  </w:style>
  <w:style w:type="character" w:styleId="Heading9Char" w:customStyle="1">
    <w:name w:val="Heading 9 Char"/>
    <w:link w:val="Heading9"/>
    <w:rsid w:val="00D47DF9"/>
    <w:rPr>
      <w:rFonts w:ascii="Arial" w:cs="Arial" w:hAnsi="Arial"/>
      <w:sz w:val="22"/>
      <w:szCs w:val="22"/>
    </w:rPr>
  </w:style>
  <w:style w:type="character" w:styleId="BodyTextIndentChar" w:customStyle="1">
    <w:name w:val="Body Text Indent Char"/>
    <w:link w:val="BodyTextIndent"/>
    <w:rsid w:val="00D47DF9"/>
    <w:rPr>
      <w:sz w:val="24"/>
      <w:szCs w:val="24"/>
    </w:rPr>
  </w:style>
  <w:style w:type="character" w:styleId="BodyText2Char" w:customStyle="1">
    <w:name w:val="Body Text 2 Char"/>
    <w:link w:val="BodyText2"/>
    <w:rsid w:val="00D47DF9"/>
    <w:rPr>
      <w:b w:val="1"/>
      <w:bCs w:val="1"/>
      <w:sz w:val="28"/>
      <w:szCs w:val="28"/>
    </w:rPr>
  </w:style>
  <w:style w:type="character" w:styleId="BodyTextIndent2Char" w:customStyle="1">
    <w:name w:val="Body Text Indent 2 Char"/>
    <w:link w:val="BodyTextIndent2"/>
    <w:rsid w:val="00D47DF9"/>
    <w:rPr>
      <w:szCs w:val="24"/>
    </w:rPr>
  </w:style>
  <w:style w:type="character" w:styleId="BodyText3Char" w:customStyle="1">
    <w:name w:val="Body Text 3 Char"/>
    <w:link w:val="BodyText3"/>
    <w:rsid w:val="00D47DF9"/>
    <w:rPr>
      <w:lang w:bidi="ar-EG"/>
    </w:rPr>
  </w:style>
  <w:style w:type="character" w:styleId="DocumentMapChar" w:customStyle="1">
    <w:name w:val="Document Map Char"/>
    <w:link w:val="DocumentMap"/>
    <w:rsid w:val="00D47DF9"/>
    <w:rPr>
      <w:rFonts w:ascii="Tahoma" w:cs="Tahoma" w:hAnsi="Tahoma"/>
      <w:shd w:color="auto" w:fill="000080" w:val="clear"/>
    </w:rPr>
  </w:style>
  <w:style w:type="character" w:styleId="apple-converted-space" w:customStyle="1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F5FB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F5FB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F5FBB"/>
    <w:rPr>
      <w:b w:val="1"/>
      <w:bCs w:val="1"/>
    </w:rPr>
  </w:style>
  <w:style w:type="table" w:styleId="GridTable5Dark-Accent11" w:customStyle="1">
    <w:name w:val="Grid Table 5 Dark - Accent 11"/>
    <w:basedOn w:val="TableNormal"/>
    <w:uiPriority w:val="50"/>
    <w:rsid w:val="00312DD9"/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b8cce4" w:themeFill="accent1" w:themeFillTint="000066" w:val="clear"/>
      </w:tcPr>
    </w:tblStylePr>
  </w:style>
  <w:style w:type="paragraph" w:styleId="NoSpacing">
    <w:name w:val="No Spacing"/>
    <w:uiPriority w:val="1"/>
    <w:qFormat w:val="1"/>
    <w:rsid w:val="00EF018C"/>
    <w:rPr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98321D"/>
    <w:pPr>
      <w:spacing w:after="100" w:afterAutospacing="1" w:before="100" w:beforeAutospacing="1"/>
    </w:pPr>
    <w:rPr>
      <w:lang w:eastAsia="en-GB" w:val="en-GB"/>
    </w:r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qkGTDZZ9SB7X0OOg5ymOMYVcJg==">AMUW2mWRuif7YEUk0rE6V7Fg133jVUEmgWzHwamh5Yxz3nmVOO7PHUrO/ITYJ04zEk0P6FixXu6lHYuWK2mLp1z/LpM652i/qhxBuKfuXh2doSpry59rswZ+Dt3USYO4+jdwNu7tJ8+AvH1iDQSt5ZafZjqSTlm+XxYur54VkuHwixWJfztlG0NxlhoG358pvjLmDs3/2/8csi4WSsxV4AX0nJ9gCKWJR85Nkh90j6XOk4nSN+b1BiE2GvMEQQSBmJNZ3szfervV7IYY7MHpGEXcdi5I9wGwkiWIm1t9T2IlikURp/XmhaEmH0T8pvX0DGVyI1NYWPlXwK5H1y05xWaXKr27RpGZ1VUk4KXz8Tn+KYQSmoi2x3NCZBwoKMx4t5MVULiA9GNIa9lOL5GHFLctgvuJk4xY4px6HREKfFC6Ps9EMw6ThsC21VJbylbNDC0h7RFZhc06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2021-11-02T19:14:00Z</dcterms:created>
  <dc:creator>Ian Allen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