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التجاري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1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243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213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تمارين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6"/>
              </w:numPr>
              <w:bidi w:val="1"/>
              <w:ind w:left="720" w:hanging="36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منظومة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يغطي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أقسام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نطاق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معايير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التمييز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والمدنية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بينهما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التاجر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الناشئة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التاجر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وأخير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وطبيعته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ويشمل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أنواعها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الكمبيالة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والشيك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إنشاؤها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تداولها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وضمانات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الوفاء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pStyle w:val="Heading2"/>
              <w:numPr>
                <w:ilvl w:val="0"/>
                <w:numId w:val="6"/>
              </w:numPr>
              <w:bidi w:val="1"/>
              <w:ind w:left="720" w:hanging="36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(1)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تعتمد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الكثير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بكالوريوس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سلطان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فبعد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اجتياز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بنجاح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المنشودة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يستطيع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مراعاتها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المنازعات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وأخيرا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الذهنية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A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5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ويحدد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والمصطلحات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التاجر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والاوراق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يفسر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اكتساب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التاجر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والآثار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المرتبطة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بالتزامات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التاجر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وممارسة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النشاط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وتحرير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الأوراق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والتوصل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الاستنتاجات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المناسبة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التاجر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والتزاماته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عناصر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والاوراق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بمفردات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بالقانون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التاجر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وأنواعها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1"/>
              </w:rPr>
              <w:t xml:space="preserve">إنشاء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تداولها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ضمانات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الوفاء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التمارين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مدار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14E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50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A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أنواع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الأعمال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ومصادر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وشروط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اكتساب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التاجر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والتزاماته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عناصر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أنواع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الأوراق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6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بالدين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6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6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8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يفسر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تجارية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وجوانب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ممارسته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وشروط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اكتساب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الورقة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صفتها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A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E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0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2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6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الأعمال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عناصر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والاوراق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A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E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A">
            <w:pPr>
              <w:spacing w:after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9D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pStyle w:val="Heading2"/>
        <w:bidi w:val="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506.0000000000002"/>
        <w:gridCol w:w="2094"/>
        <w:tblGridChange w:id="0">
          <w:tblGrid>
            <w:gridCol w:w="421"/>
            <w:gridCol w:w="5555"/>
            <w:gridCol w:w="1506.0000000000002"/>
            <w:gridCol w:w="2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C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bidi w:val="1"/>
        <w:rPr/>
      </w:pPr>
      <w:bookmarkStart w:colFirst="0" w:colLast="0" w:name="_heading=h.26in1rg" w:id="12"/>
      <w:bookmarkEnd w:id="12"/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D1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D3">
      <w:pPr>
        <w:pStyle w:val="Heading2"/>
        <w:bidi w:val="1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pStyle w:val="Heading1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القانون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التجاري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حسين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شحادة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الحسين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الطبعة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الثالثة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،2022</w:t>
            </w:r>
          </w:p>
          <w:p w:rsidR="00000000" w:rsidDel="00000000" w:rsidP="00000000" w:rsidRDefault="00000000" w:rsidRPr="00000000" w14:paraId="000001D6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كتاب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حسن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الجبر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القانون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التجاري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السعودي</w:t>
            </w:r>
          </w:p>
          <w:p w:rsidR="00000000" w:rsidDel="00000000" w:rsidP="00000000" w:rsidRDefault="00000000" w:rsidRPr="00000000" w14:paraId="000001D9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الدكتور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عبد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الرحمن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قرمان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الاوراق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التجارية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1"/>
              </w:rPr>
              <w:t xml:space="preserve">والافلاس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C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موقع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أستاذ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والذي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يحتوي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كافة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المواقع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1E0">
      <w:pPr>
        <w:pStyle w:val="Heading2"/>
        <w:bidi w:val="1"/>
        <w:rPr>
          <w:sz w:val="14"/>
          <w:szCs w:val="14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Style w:val="Heading2"/>
        <w:bidi w:val="1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العرض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...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جهاز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عرض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السبورة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تتوفر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مجهزة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بالاتصال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بالإنترنت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أجهزة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كمبيوتر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أكثر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لخدمة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تجهيز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بورد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والبروجكترات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pStyle w:val="Heading1"/>
        <w:jc w:val="left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273444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273444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273444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273444" w:space="0" w:sz="8" w:val="single"/>
              <w:left w:color="273444" w:space="0" w:sz="12" w:val="single"/>
              <w:bottom w:color="273444" w:space="0" w:sz="4" w:val="dashed"/>
              <w:right w:color="273444" w:space="0" w:sz="12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4">
            <w:pPr>
              <w:bidi w:val="1"/>
              <w:jc w:val="both"/>
              <w:rPr>
                <w:color w:val="ff0000"/>
              </w:rPr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273444" w:space="0" w:sz="8" w:val="single"/>
              <w:left w:color="273444" w:space="0" w:sz="8" w:val="single"/>
              <w:bottom w:color="273444" w:space="0" w:sz="4" w:val="dashed"/>
              <w:right w:color="273444" w:space="0" w:sz="12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bidi w:val="1"/>
              <w:jc w:val="both"/>
              <w:rPr>
                <w:color w:val="ff0000"/>
              </w:rPr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273444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273444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0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bidi w:val="1"/>
        <w:rPr>
          <w:b w:val="1"/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sz w:val="20"/>
          <w:szCs w:val="20"/>
          <w:rtl w:val="1"/>
        </w:rPr>
        <w:t xml:space="preserve">مجالات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التقويم</w:t>
      </w:r>
      <w:r w:rsidDel="00000000" w:rsidR="00000000" w:rsidRPr="00000000">
        <w:rPr>
          <w:sz w:val="20"/>
          <w:szCs w:val="20"/>
          <w:rtl w:val="1"/>
        </w:rPr>
        <w:t xml:space="preserve">: 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sz w:val="20"/>
          <w:szCs w:val="20"/>
          <w:rtl w:val="1"/>
        </w:rPr>
        <w:t xml:space="preserve">: 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: 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Style w:val="Heading1"/>
        <w:rPr/>
      </w:pPr>
      <w:bookmarkStart w:colFirst="0" w:colLast="0" w:name="_heading=h.2xcytpi" w:id="21"/>
      <w:bookmarkEnd w:id="21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10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11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1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7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7liFz9a2Y6VMob1dWodrBXP8w==">AMUW2mUpIRzSrzSeu5f7zX1MPUK8Xh/sB7hU7MVysJU2FeoLEx55Ye4JfHi8Bfn2Yaub9naE8iNG6+2koJfGPi390dMUlCUuQm39jXkm1ehrgRZuoEVe33qlVsvqTkSghh27gDhotBPzYt/5IH5FdXZtZHXJfLEEmel80be4cHCp4lkS3K2uPDRDdbY5Ux5Fd6QDIDTnSQuK6eTfeB/GvKTDuXx7Qc2HOUh39N3tFzKJew19vHlj9x8BJe9phoMTqhxddn6okx9QCWMqJhHTr4Gpdx62WN504uWdpCs7Sg9R7rqMitulPOn2ue53hOhRTBcO20h4xUZLYwmerghfKtP27YaxxxEk3qwUU4fxCP4aEvCSiH8YxftU/lbQKYrRXIAofQPrYXZzBOaftWgoy/4rGwIxzfGq8CM6S2PuiYdAz82u9ywRg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2021-10-22T16:03:00Z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