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bidi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549"/>
        <w:gridCol w:w="6776"/>
        <w:tblGridChange w:id="0">
          <w:tblGrid>
            <w:gridCol w:w="2549"/>
            <w:gridCol w:w="6776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الصياغة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باللغة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Law 230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1"/>
        </w:rPr>
        <w:t xml:space="preserve">المحتويات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tl w:val="0"/>
              </w:rPr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tl w:val="0"/>
              </w:rPr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tl w:val="0"/>
              </w:rPr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tl w:val="0"/>
              </w:rPr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tl w:val="0"/>
              </w:rPr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tl w:val="0"/>
              </w:rPr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bidi w:val="1"/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0"/>
        </w:rPr>
        <w:t xml:space="preserve">: </w:t>
      </w:r>
    </w:p>
    <w:tbl>
      <w:tblPr>
        <w:tblStyle w:val="Table2"/>
        <w:bidiVisual w:val="1"/>
        <w:tblW w:w="932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64"/>
        <w:gridCol w:w="696"/>
        <w:gridCol w:w="856"/>
        <w:gridCol w:w="58"/>
        <w:gridCol w:w="213"/>
        <w:gridCol w:w="179"/>
        <w:gridCol w:w="270"/>
        <w:gridCol w:w="504"/>
        <w:gridCol w:w="270"/>
        <w:gridCol w:w="679"/>
        <w:gridCol w:w="270"/>
        <w:gridCol w:w="203"/>
        <w:gridCol w:w="431"/>
        <w:gridCol w:w="270"/>
        <w:gridCol w:w="1941"/>
        <w:gridCol w:w="270"/>
        <w:gridCol w:w="1751"/>
        <w:tblGridChange w:id="0">
          <w:tblGrid>
            <w:gridCol w:w="464"/>
            <w:gridCol w:w="696"/>
            <w:gridCol w:w="856"/>
            <w:gridCol w:w="58"/>
            <w:gridCol w:w="213"/>
            <w:gridCol w:w="179"/>
            <w:gridCol w:w="270"/>
            <w:gridCol w:w="504"/>
            <w:gridCol w:w="270"/>
            <w:gridCol w:w="679"/>
            <w:gridCol w:w="270"/>
            <w:gridCol w:w="203"/>
            <w:gridCol w:w="431"/>
            <w:gridCol w:w="270"/>
            <w:gridCol w:w="1941"/>
            <w:gridCol w:w="270"/>
            <w:gridCol w:w="175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جامعة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كلية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right"/>
              <w:rPr>
                <w:b w:val="1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إجباري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اختياري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2"/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07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17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9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Law 101</w:t>
            </w:r>
          </w:p>
          <w:p w:rsidR="00000000" w:rsidDel="00000000" w:rsidP="00000000" w:rsidRDefault="00000000" w:rsidRPr="00000000" w14:paraId="0000009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المتزامنة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</w:p>
          <w:p w:rsidR="00000000" w:rsidDel="00000000" w:rsidP="00000000" w:rsidRDefault="00000000" w:rsidRPr="00000000" w14:paraId="000000B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التقليدية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DF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ساعات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الفصل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وستوديو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تذكر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F3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rPr/>
      </w:pPr>
      <w:bookmarkStart w:colFirst="0" w:colLast="0" w:name="_heading=h.3znysh7" w:id="3"/>
      <w:bookmarkEnd w:id="3"/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ومخرجاته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pStyle w:val="Heading2"/>
              <w:numPr>
                <w:ilvl w:val="0"/>
                <w:numId w:val="5"/>
              </w:numPr>
              <w:bidi w:val="1"/>
              <w:ind w:left="720" w:hanging="360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1"/>
              </w:rPr>
              <w:t xml:space="preserve">الوصف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للممارسة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اكتسبه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فيتناول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الصياغة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التركيز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الكفاءة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والقانونية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ويتناول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صياغة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الأوراق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المختلفة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ومنها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أوراق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الدعوى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وصياغة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وكتابة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الأبحاث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والمذكرات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الاستشارات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كتابي</w:t>
            </w:r>
            <w:r w:rsidDel="00000000" w:rsidR="00000000" w:rsidRPr="00000000">
              <w:rPr>
                <w:rtl w:val="1"/>
              </w:rPr>
              <w:t xml:space="preserve">ًّ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ومناقشتها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شفوي</w:t>
            </w:r>
            <w:r w:rsidDel="00000000" w:rsidR="00000000" w:rsidRPr="00000000">
              <w:rPr>
                <w:rtl w:val="1"/>
              </w:rPr>
              <w:t xml:space="preserve">ًّ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بما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لسوق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وفق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المجالات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المستهدفة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8">
            <w:pPr>
              <w:pStyle w:val="Heading2"/>
              <w:numPr>
                <w:ilvl w:val="0"/>
                <w:numId w:val="5"/>
              </w:numPr>
              <w:bidi w:val="1"/>
              <w:ind w:left="720" w:hanging="360"/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1"/>
              </w:rPr>
              <w:t xml:space="preserve">الهدف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9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الصياغة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باللغة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أساسي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بكالوريوس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سلطان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فبعد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اجتياز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بنجاح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واكتساب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المنشودة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يستطيع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صياغة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يطلب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صياغة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بالإضافة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لصياغة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والأوراق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والقضائية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وإعداد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الاستشارات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وكتابة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الأبحاث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ومحاضر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التحقيق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المناسب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A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pStyle w:val="Heading2"/>
        <w:bidi w:val="1"/>
        <w:rPr/>
      </w:pPr>
      <w:bookmarkStart w:colFirst="0" w:colLast="0" w:name="_heading=h.afmmzz4v3k8s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Style w:val="Heading2"/>
        <w:bidi w:val="1"/>
        <w:rPr/>
      </w:pPr>
      <w:bookmarkStart w:colFirst="0" w:colLast="0" w:name="_heading=h.xfq4ncl0oiw3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6"/>
        <w:bidiVisual w:val="1"/>
        <w:tblW w:w="9571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ffffff" w:space="0" w:sz="4" w:val="single"/>
        </w:tblBorders>
        <w:tblLayout w:type="fixed"/>
        <w:tblLook w:val="0400"/>
      </w:tblPr>
      <w:tblGrid>
        <w:gridCol w:w="603"/>
        <w:gridCol w:w="7341"/>
        <w:gridCol w:w="1627"/>
        <w:tblGridChange w:id="0">
          <w:tblGrid>
            <w:gridCol w:w="603"/>
            <w:gridCol w:w="7341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المرتبط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للبرنامج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0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0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6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ويحدد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المفاهيم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والمصطلحات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الأساسية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صياغة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والأوراق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يلخص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صياغة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الأوراق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والقضائية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يعدد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الصياغة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1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1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5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يحلل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النصوص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ويميز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الأوراق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للوصول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للاستنتاج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المناسب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8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النصوص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المسائل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يصيغ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الأوراق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ويقارن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مراحل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الصياغة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ويحلل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آثار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الصياغة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والأوراق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والقضائية</w:t>
            </w:r>
          </w:p>
          <w:p w:rsidR="00000000" w:rsidDel="00000000" w:rsidP="00000000" w:rsidRDefault="00000000" w:rsidRPr="00000000" w14:paraId="0000011C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2.4.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بمفردات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  <w:p w:rsidR="00000000" w:rsidDel="00000000" w:rsidP="00000000" w:rsidRDefault="00000000" w:rsidRPr="00000000" w14:paraId="0000012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2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2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6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bidi w:val="1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Style w:val="Heading1"/>
        <w:rPr/>
      </w:pPr>
      <w:bookmarkStart w:colFirst="0" w:colLast="0" w:name="_heading=h.1t3h5sf" w:id="8"/>
      <w:bookmarkEnd w:id="8"/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موضوعات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"/>
        <w:gridCol w:w="7655"/>
        <w:gridCol w:w="1378"/>
        <w:tblGridChange w:id="0">
          <w:tblGrid>
            <w:gridCol w:w="538"/>
            <w:gridCol w:w="7655"/>
            <w:gridCol w:w="1378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تعريف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الصياغة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وأنواعها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صياغة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الأوراق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القضائية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صياغة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العقود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صياغة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الأنظمة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واللوائح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صياغة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صياغة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محاضر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التحقيق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الاستشارات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14E">
      <w:pPr>
        <w:bidi w:val="1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Style w:val="Heading1"/>
        <w:rPr/>
      </w:pPr>
      <w:bookmarkStart w:colFirst="0" w:colLast="0" w:name="_heading=h.4d34og8" w:id="9"/>
      <w:bookmarkEnd w:id="9"/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والتقييم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150">
      <w:pPr>
        <w:pStyle w:val="Heading2"/>
        <w:bidi w:val="1"/>
        <w:rPr/>
      </w:pPr>
      <w:bookmarkStart w:colFirst="0" w:colLast="0" w:name="_heading=h.2s8eyo1" w:id="10"/>
      <w:bookmarkEnd w:id="10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 </w:t>
      </w:r>
      <w:r w:rsidDel="00000000" w:rsidR="00000000" w:rsidRPr="00000000">
        <w:rPr>
          <w:rtl w:val="1"/>
        </w:rPr>
        <w:t xml:space="preserve">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8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853"/>
        <w:gridCol w:w="3997"/>
        <w:gridCol w:w="2437"/>
        <w:gridCol w:w="2284"/>
        <w:tblGridChange w:id="0">
          <w:tblGrid>
            <w:gridCol w:w="853"/>
            <w:gridCol w:w="3997"/>
            <w:gridCol w:w="2437"/>
            <w:gridCol w:w="228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2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5A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يعرف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ويحدد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المفاهيم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والمصطلحات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الخاصة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بصياغة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القوانين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والأوراق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والقضائية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المناقشات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الخارجي</w:t>
            </w:r>
          </w:p>
          <w:p w:rsidR="00000000" w:rsidDel="00000000" w:rsidP="00000000" w:rsidRDefault="00000000" w:rsidRPr="00000000" w14:paraId="0000015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الشفهية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الشهرية</w:t>
            </w:r>
          </w:p>
          <w:p w:rsidR="00000000" w:rsidDel="00000000" w:rsidP="00000000" w:rsidRDefault="00000000" w:rsidRPr="00000000" w14:paraId="0000016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الصياغة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ويلخص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صياغة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الأوراق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والقضائية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6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  <w:r w:rsidDel="00000000" w:rsidR="00000000" w:rsidRPr="00000000">
              <w:rPr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6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6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الاطلاع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الخارجي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الاسئلة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الشفهية</w:t>
            </w:r>
          </w:p>
          <w:p w:rsidR="00000000" w:rsidDel="00000000" w:rsidP="00000000" w:rsidRDefault="00000000" w:rsidRPr="00000000" w14:paraId="0000016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16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الشهرية</w:t>
            </w:r>
          </w:p>
          <w:p w:rsidR="00000000" w:rsidDel="00000000" w:rsidP="00000000" w:rsidRDefault="00000000" w:rsidRPr="00000000" w14:paraId="0000016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73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يفسر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آثار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صياغة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الاوراق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الصادرة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الجهات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الادارية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والشخصيات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المعنوية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العامة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والقضاء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وبين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صياغة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الأوراق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الصادرة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الافراد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والاشخاص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المعنوية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الخاصة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75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79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7B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النصوص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المسائل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خلال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دراسة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نماذج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قضايا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واقعية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7D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81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3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يقارن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صياغة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الاوراق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الصادرة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الجهات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الادارية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والشخصيات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المعنوية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العامة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والقضاء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وبين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صياغة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الأوراق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الصادرة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الافراد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والاشخاص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المعنوية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الخاصة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85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89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B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C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ومناقشتها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8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المهمات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المنزلية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صفية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5">
            <w:pPr>
              <w:spacing w:after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ومناقشتها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الأعمال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</w:p>
          <w:p w:rsidR="00000000" w:rsidDel="00000000" w:rsidP="00000000" w:rsidRDefault="00000000" w:rsidRPr="00000000" w14:paraId="00000198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تقويم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قائد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الفريق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البحثي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النقاشي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pStyle w:val="Heading2"/>
        <w:bidi w:val="1"/>
        <w:rPr/>
      </w:pPr>
      <w:bookmarkStart w:colFirst="0" w:colLast="0" w:name="_heading=h.17dp8vu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9"/>
        <w:bidiVisual w:val="1"/>
        <w:tblW w:w="9576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5555"/>
        <w:gridCol w:w="1518.0000000000005"/>
        <w:gridCol w:w="2082"/>
        <w:tblGridChange w:id="0">
          <w:tblGrid>
            <w:gridCol w:w="421"/>
            <w:gridCol w:w="5555"/>
            <w:gridCol w:w="1518.0000000000005"/>
            <w:gridCol w:w="20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1A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7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9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الإختبار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A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السادس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D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E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التاسع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1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المهمات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2">
            <w:pPr>
              <w:bidi w:val="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الورقة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6">
            <w:pPr>
              <w:bidi w:val="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السادس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C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bidi w:val="1"/>
        <w:rPr/>
      </w:pPr>
      <w:bookmarkStart w:colFirst="0" w:colLast="0" w:name="_heading=h.3rdcrjn" w:id="12"/>
      <w:bookmarkEnd w:id="12"/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اختبار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شفهي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عرض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تقديمي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ورقة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Style w:val="Heading1"/>
        <w:rPr/>
      </w:pP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الأكاديمي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الطلابي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0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الأستاذ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الصاقه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إلصاق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اسماء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يخضعون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لإشراف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ايضا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CB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Style w:val="Heading1"/>
        <w:rPr/>
      </w:pPr>
      <w:bookmarkStart w:colFirst="0" w:colLast="0" w:name="_heading=h.26in1rg" w:id="13"/>
      <w:bookmarkEnd w:id="13"/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والمرافق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1CF">
      <w:pPr>
        <w:pStyle w:val="Heading2"/>
        <w:bidi w:val="1"/>
        <w:rPr/>
      </w:pPr>
      <w:bookmarkStart w:colFirst="0" w:colLast="0" w:name="_heading=h.lnxbz9" w:id="14"/>
      <w:bookmarkEnd w:id="14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4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للمقرر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صبره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أصول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الصياغة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</w:p>
          <w:p w:rsidR="00000000" w:rsidDel="00000000" w:rsidP="00000000" w:rsidRDefault="00000000" w:rsidRPr="00000000" w14:paraId="000001D2">
            <w:pPr>
              <w:bidi w:val="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مذكرات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تكميلية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4">
            <w:pPr>
              <w:bidi w:val="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المراجع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صياغة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العقود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والاوراق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color="000000" w:space="1" w:sz="4" w:val="single"/>
                <w:left w:color="000000" w:space="4" w:sz="4" w:val="single"/>
                <w:bottom w:space="0" w:sz="0" w:val="nil"/>
                <w:right w:color="000000" w:space="4" w:sz="4" w:val="single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يستعين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بالمواقع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7">
            <w:pPr>
              <w:bidi w:val="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موقع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أستاذ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المادة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الجامعة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والذي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يحتوي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كافة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المواقع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مدونة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D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https://www.moj.gov.sa/ar-sa/ministry/versions/Documents/50.pdf</w:t>
            </w:r>
          </w:p>
        </w:tc>
      </w:tr>
    </w:tbl>
    <w:p w:rsidR="00000000" w:rsidDel="00000000" w:rsidP="00000000" w:rsidRDefault="00000000" w:rsidRPr="00000000" w14:paraId="000001DB">
      <w:pPr>
        <w:pStyle w:val="Heading2"/>
        <w:bidi w:val="1"/>
        <w:rPr>
          <w:sz w:val="14"/>
          <w:szCs w:val="14"/>
        </w:rPr>
      </w:pPr>
      <w:bookmarkStart w:colFirst="0" w:colLast="0" w:name="_heading=h.35nkun2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Style w:val="Heading2"/>
        <w:bidi w:val="1"/>
        <w:rPr/>
      </w:pPr>
      <w:bookmarkStart w:colFirst="0" w:colLast="0" w:name="_heading=h.1ksv4uv" w:id="16"/>
      <w:bookmarkEnd w:id="16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والتجهيزات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DD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DE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D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المرافق</w:t>
            </w:r>
          </w:p>
          <w:p w:rsidR="00000000" w:rsidDel="00000000" w:rsidP="00000000" w:rsidRDefault="00000000" w:rsidRPr="00000000" w14:paraId="000001E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القاعات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المختبرات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قاعات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العرض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قاعات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...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إلخ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E1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قاعة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التقنية</w:t>
            </w:r>
          </w:p>
          <w:p w:rsidR="00000000" w:rsidDel="00000000" w:rsidP="00000000" w:rsidRDefault="00000000" w:rsidRPr="00000000" w14:paraId="000001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جهاز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عرض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السبورة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الذكية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البرمجيات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E4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تتوفر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قاعات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مجهزة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بالاتصال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بالإنترنت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أجهزة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كمبيوتر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أكثر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مكان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الجامعة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لخدمة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تجهيزات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تبعا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لطبيعة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التخصص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تم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تجهيز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الفصول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بالسمارت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بورد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والبروجكترات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pStyle w:val="Heading1"/>
        <w:rPr/>
      </w:pPr>
      <w:bookmarkStart w:colFirst="0" w:colLast="0" w:name="_heading=h.44sinio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Style w:val="Heading1"/>
        <w:rPr/>
      </w:pP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3"/>
        <w:bidiVisual w:val="1"/>
        <w:tblW w:w="9571.000000000002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A">
            <w:pPr>
              <w:bidi w:val="1"/>
              <w:jc w:val="center"/>
              <w:rPr/>
            </w:pPr>
            <w:bookmarkStart w:colFirst="0" w:colLast="0" w:name="_heading=h.2jxsxqh" w:id="18"/>
            <w:bookmarkEnd w:id="18"/>
            <w:r w:rsidDel="00000000" w:rsidR="00000000" w:rsidRPr="00000000">
              <w:rPr>
                <w:b w:val="1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bidi w:val="1"/>
              <w:jc w:val="both"/>
              <w:rPr/>
            </w:pPr>
            <w:bookmarkStart w:colFirst="0" w:colLast="0" w:name="_heading=h.z337ya" w:id="19"/>
            <w:bookmarkEnd w:id="19"/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EE">
            <w:pPr>
              <w:bidi w:val="1"/>
              <w:jc w:val="both"/>
              <w:rPr/>
            </w:pPr>
            <w:bookmarkStart w:colFirst="0" w:colLast="0" w:name="_heading=h.3j2qqm3" w:id="20"/>
            <w:bookmarkEnd w:id="20"/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peer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observation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E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  <w:p w:rsidR="00000000" w:rsidDel="00000000" w:rsidP="00000000" w:rsidRDefault="00000000" w:rsidRPr="00000000" w14:paraId="000001F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1F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20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bidi w:val="1"/>
        <w:rPr>
          <w:b w:val="1"/>
          <w:sz w:val="20"/>
          <w:szCs w:val="20"/>
        </w:rPr>
      </w:pPr>
      <w:bookmarkStart w:colFirst="0" w:colLast="0" w:name="_heading=h.1y810tw" w:id="21"/>
      <w:bookmarkEnd w:id="21"/>
      <w:r w:rsidDel="00000000" w:rsidR="00000000" w:rsidRPr="00000000">
        <w:rPr>
          <w:sz w:val="20"/>
          <w:szCs w:val="20"/>
          <w:rtl w:val="1"/>
        </w:rPr>
        <w:t xml:space="preserve">مجالات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التقويم</w:t>
      </w:r>
      <w:r w:rsidDel="00000000" w:rsidR="00000000" w:rsidRPr="00000000">
        <w:rPr>
          <w:sz w:val="20"/>
          <w:szCs w:val="20"/>
          <w:rtl w:val="1"/>
        </w:rPr>
        <w:t xml:space="preserve">: (</w:t>
      </w:r>
      <w:r w:rsidDel="00000000" w:rsidR="00000000" w:rsidRPr="00000000">
        <w:rPr>
          <w:sz w:val="20"/>
          <w:szCs w:val="20"/>
          <w:rtl w:val="1"/>
        </w:rPr>
        <w:t xml:space="preserve">مثل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فاعلية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فاعلة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تقييم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تحصيل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مخرجات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للمقرر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مصادر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... </w:t>
      </w:r>
      <w:r w:rsidDel="00000000" w:rsidR="00000000" w:rsidRPr="00000000">
        <w:rPr>
          <w:sz w:val="20"/>
          <w:szCs w:val="20"/>
          <w:rtl w:val="1"/>
        </w:rPr>
        <w:t xml:space="preserve">إلخ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المقيمون</w:t>
      </w:r>
      <w:r w:rsidDel="00000000" w:rsidR="00000000" w:rsidRPr="00000000">
        <w:rPr>
          <w:sz w:val="20"/>
          <w:szCs w:val="20"/>
          <w:rtl w:val="1"/>
        </w:rPr>
        <w:t xml:space="preserve">: (</w:t>
      </w:r>
      <w:r w:rsidDel="00000000" w:rsidR="00000000" w:rsidRPr="00000000">
        <w:rPr>
          <w:sz w:val="20"/>
          <w:szCs w:val="20"/>
          <w:rtl w:val="1"/>
        </w:rPr>
        <w:t xml:space="preserve">الطلبة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أعضاء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هيئة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قيادات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المراجع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النظير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تحديدها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: (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Style w:val="Heading1"/>
        <w:rPr/>
      </w:pPr>
      <w:bookmarkStart w:colFirst="0" w:colLast="0" w:name="_heading=h.2xcytpi" w:id="22"/>
      <w:bookmarkEnd w:id="22"/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التوصيف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4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600"/>
      </w:tblPr>
      <w:tblGrid>
        <w:gridCol w:w="1792"/>
        <w:gridCol w:w="7533"/>
        <w:tblGridChange w:id="0">
          <w:tblGrid>
            <w:gridCol w:w="1792"/>
            <w:gridCol w:w="753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9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الاعتماد</w:t>
            </w:r>
          </w:p>
        </w:tc>
        <w:tc>
          <w:tcPr/>
          <w:p w:rsidR="00000000" w:rsidDel="00000000" w:rsidP="00000000" w:rsidRDefault="00000000" w:rsidRPr="00000000" w14:paraId="0000020A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20B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20C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D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0E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F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10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211">
      <w:pPr>
        <w:bidi w:val="1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-371028</wp:posOffset>
          </wp:positionV>
          <wp:extent cx="7313289" cy="761800"/>
          <wp:effectExtent b="0" l="0" r="0" t="0"/>
          <wp:wrapNone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89" cy="76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056440" y="3579975"/>
                        <a:ext cx="5791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PAGE   \* MERGEFORMAT 7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-547419</wp:posOffset>
          </wp:positionH>
          <wp:positionV relativeFrom="paragraph">
            <wp:posOffset>-72464</wp:posOffset>
          </wp:positionV>
          <wp:extent cx="7127737" cy="10080000"/>
          <wp:effectExtent b="0" l="0" r="0" t="0"/>
          <wp:wrapNone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right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right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  <w:qFormat w:val="1"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1C3FF9"/>
    <w:pPr>
      <w:keepNext w:val="1"/>
      <w:spacing w:after="60" w:line="312" w:lineRule="atLeast"/>
      <w:jc w:val="right"/>
      <w:outlineLvl w:val="0"/>
    </w:pPr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paragraph" w:styleId="Heading2">
    <w:name w:val="heading 2"/>
    <w:basedOn w:val="Normal"/>
    <w:next w:val="Normal"/>
    <w:link w:val="Heading2Char"/>
    <w:autoRedefine w:val="1"/>
    <w:qFormat w:val="1"/>
    <w:rsid w:val="005C735D"/>
    <w:pPr>
      <w:keepNext w:val="1"/>
      <w:bidi w:val="1"/>
      <w:outlineLvl w:val="1"/>
    </w:pPr>
    <w:rPr>
      <w:rFonts w:asciiTheme="majorBidi" w:cstheme="majorBidi" w:hAnsiTheme="majorBidi"/>
      <w:b w:val="1"/>
      <w:bCs w:val="1"/>
    </w:rPr>
  </w:style>
  <w:style w:type="paragraph" w:styleId="Heading3">
    <w:name w:val="heading 3"/>
    <w:basedOn w:val="Normal"/>
    <w:next w:val="Normal"/>
    <w:link w:val="Heading3Char"/>
    <w:qFormat w:val="1"/>
    <w:rsid w:val="00B1176F"/>
    <w:pPr>
      <w:keepNext w:val="1"/>
      <w:jc w:val="center"/>
      <w:outlineLvl w:val="2"/>
    </w:pPr>
    <w:rPr>
      <w:b w:val="1"/>
      <w:bCs w:val="1"/>
      <w:sz w:val="32"/>
    </w:rPr>
  </w:style>
  <w:style w:type="paragraph" w:styleId="Heading4">
    <w:name w:val="heading 4"/>
    <w:basedOn w:val="Normal"/>
    <w:next w:val="Normal"/>
    <w:link w:val="Heading4Char"/>
    <w:qFormat w:val="1"/>
    <w:rsid w:val="00B1176F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B1176F"/>
    <w:pPr>
      <w:keepNext w:val="1"/>
      <w:ind w:left="446" w:hanging="446"/>
      <w:outlineLvl w:val="4"/>
    </w:pPr>
    <w:rPr>
      <w:b w:val="1"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 w:val="1"/>
    <w:rsid w:val="00B1176F"/>
    <w:pPr>
      <w:keepNext w:val="1"/>
      <w:outlineLvl w:val="5"/>
    </w:pPr>
    <w:rPr>
      <w:b w:val="1"/>
      <w:bCs w:val="1"/>
      <w:szCs w:val="28"/>
    </w:rPr>
  </w:style>
  <w:style w:type="paragraph" w:styleId="Heading7">
    <w:name w:val="heading 7"/>
    <w:basedOn w:val="Normal"/>
    <w:next w:val="Normal"/>
    <w:link w:val="Heading7Char"/>
    <w:qFormat w:val="1"/>
    <w:rsid w:val="00B1176F"/>
    <w:pPr>
      <w:spacing w:after="60" w:before="240"/>
      <w:outlineLvl w:val="6"/>
    </w:pPr>
  </w:style>
  <w:style w:type="paragraph" w:styleId="Heading8">
    <w:name w:val="heading 8"/>
    <w:basedOn w:val="Normal"/>
    <w:next w:val="Normal"/>
    <w:link w:val="Heading8Char"/>
    <w:qFormat w:val="1"/>
    <w:rsid w:val="00B1176F"/>
    <w:pPr>
      <w:spacing w:after="60" w:before="240"/>
      <w:outlineLvl w:val="7"/>
    </w:pPr>
    <w:rPr>
      <w:i w:val="1"/>
      <w:iCs w:val="1"/>
    </w:rPr>
  </w:style>
  <w:style w:type="paragraph" w:styleId="Heading9">
    <w:name w:val="heading 9"/>
    <w:basedOn w:val="Normal"/>
    <w:next w:val="Normal"/>
    <w:link w:val="Heading9Char"/>
    <w:qFormat w:val="1"/>
    <w:rsid w:val="00B1176F"/>
    <w:pPr>
      <w:spacing w:after="60" w:before="24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 w:val="1"/>
      <w:bCs w:val="1"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 w:val="1"/>
      <w:bCs w:val="1"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 w:val="1"/>
    <w:rsid w:val="00B1176F"/>
    <w:rPr>
      <w:b w:val="1"/>
      <w:bCs w:val="1"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color="auto" w:fill="000080" w:val="clear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 w:val="1"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 w:val="1"/>
    <w:rsid w:val="00FC79D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FC79D1"/>
    <w:rPr>
      <w:rFonts w:ascii="Tahoma" w:cs="Tahoma" w:hAnsi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 w:val="1"/>
    <w:rsid w:val="00A37EA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B194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470372"/>
    <w:pPr>
      <w:keepLines w:val="1"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D4EF1"/>
    <w:pPr>
      <w:tabs>
        <w:tab w:val="right" w:leader="dot" w:pos="8630"/>
      </w:tabs>
      <w:bidi w:val="1"/>
      <w:spacing w:after="100"/>
    </w:pPr>
    <w:rPr>
      <w:b w:val="1"/>
      <w:bCs w:val="1"/>
      <w:noProof w:val="1"/>
      <w:lang w:bidi="ar-EG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470372"/>
    <w:pPr>
      <w:spacing w:after="100"/>
      <w:ind w:left="480"/>
    </w:pPr>
  </w:style>
  <w:style w:type="character" w:styleId="Hyperlink">
    <w:name w:val="Hyperlink"/>
    <w:uiPriority w:val="99"/>
    <w:unhideWhenUsed w:val="1"/>
    <w:rsid w:val="00470372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 w:val="1"/>
    <w:rsid w:val="00E54C65"/>
    <w:rPr>
      <w:b w:val="1"/>
      <w:bCs w:val="1"/>
    </w:rPr>
  </w:style>
  <w:style w:type="character" w:styleId="Heading3Char" w:customStyle="1">
    <w:name w:val="Heading 3 Char"/>
    <w:link w:val="Heading3"/>
    <w:rsid w:val="00A3606A"/>
    <w:rPr>
      <w:b w:val="1"/>
      <w:bCs w:val="1"/>
      <w:sz w:val="32"/>
      <w:szCs w:val="24"/>
    </w:rPr>
  </w:style>
  <w:style w:type="character" w:styleId="HeaderChar" w:customStyle="1">
    <w:name w:val="Header Char"/>
    <w:link w:val="Header"/>
    <w:uiPriority w:val="99"/>
    <w:rsid w:val="00A3606A"/>
    <w:rPr>
      <w:sz w:val="24"/>
      <w:szCs w:val="24"/>
    </w:rPr>
  </w:style>
  <w:style w:type="character" w:styleId="Heading7Char" w:customStyle="1">
    <w:name w:val="Heading 7 Char"/>
    <w:link w:val="Heading7"/>
    <w:rsid w:val="00886520"/>
    <w:rPr>
      <w:sz w:val="24"/>
      <w:szCs w:val="24"/>
    </w:rPr>
  </w:style>
  <w:style w:type="character" w:styleId="BodyTextChar" w:customStyle="1">
    <w:name w:val="Body Text Char"/>
    <w:link w:val="BodyText"/>
    <w:rsid w:val="00886520"/>
    <w:rPr>
      <w:b w:val="1"/>
      <w:bCs w:val="1"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rsid w:val="00886520"/>
  </w:style>
  <w:style w:type="character" w:styleId="SubtitleChar" w:customStyle="1">
    <w:name w:val="Subtitle Char"/>
    <w:link w:val="Subtitle"/>
    <w:rsid w:val="00886520"/>
    <w:rPr>
      <w:b w:val="1"/>
      <w:bCs w:val="1"/>
      <w:sz w:val="28"/>
      <w:szCs w:val="28"/>
    </w:rPr>
  </w:style>
  <w:style w:type="paragraph" w:styleId="yiv2125367492msonormal" w:customStyle="1">
    <w:name w:val="yiv2125367492msonormal"/>
    <w:basedOn w:val="Normal"/>
    <w:rsid w:val="00D47DF9"/>
    <w:pPr>
      <w:spacing w:after="100" w:afterAutospacing="1" w:before="100" w:beforeAutospacing="1"/>
    </w:pPr>
  </w:style>
  <w:style w:type="character" w:styleId="TitleChar" w:customStyle="1">
    <w:name w:val="Title Char"/>
    <w:link w:val="Title"/>
    <w:rsid w:val="00D47DF9"/>
    <w:rPr>
      <w:sz w:val="32"/>
      <w:szCs w:val="32"/>
      <w:lang w:val="en-GB"/>
    </w:rPr>
  </w:style>
  <w:style w:type="character" w:styleId="Heading1Char" w:customStyle="1">
    <w:name w:val="Heading 1 Char"/>
    <w:link w:val="Heading1"/>
    <w:rsid w:val="001C3FF9"/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character" w:styleId="Heading2Char" w:customStyle="1">
    <w:name w:val="Heading 2 Char"/>
    <w:link w:val="Heading2"/>
    <w:rsid w:val="005C735D"/>
    <w:rPr>
      <w:rFonts w:asciiTheme="majorBidi" w:cstheme="majorBidi" w:hAnsiTheme="majorBidi"/>
      <w:b w:val="1"/>
      <w:bCs w:val="1"/>
      <w:sz w:val="24"/>
      <w:szCs w:val="24"/>
    </w:rPr>
  </w:style>
  <w:style w:type="character" w:styleId="Heading4Char" w:customStyle="1">
    <w:name w:val="Heading 4 Char"/>
    <w:link w:val="Heading4"/>
    <w:rsid w:val="00D47DF9"/>
    <w:rPr>
      <w:b w:val="1"/>
      <w:bCs w:val="1"/>
      <w:sz w:val="28"/>
      <w:szCs w:val="28"/>
    </w:rPr>
  </w:style>
  <w:style w:type="character" w:styleId="Heading5Char" w:customStyle="1">
    <w:name w:val="Heading 5 Char"/>
    <w:link w:val="Heading5"/>
    <w:rsid w:val="00D47DF9"/>
    <w:rPr>
      <w:b w:val="1"/>
      <w:sz w:val="24"/>
      <w:szCs w:val="28"/>
      <w:lang w:bidi="ar-EG"/>
    </w:rPr>
  </w:style>
  <w:style w:type="character" w:styleId="Heading6Char" w:customStyle="1">
    <w:name w:val="Heading 6 Char"/>
    <w:link w:val="Heading6"/>
    <w:rsid w:val="00D47DF9"/>
    <w:rPr>
      <w:b w:val="1"/>
      <w:bCs w:val="1"/>
      <w:sz w:val="24"/>
      <w:szCs w:val="28"/>
    </w:rPr>
  </w:style>
  <w:style w:type="character" w:styleId="Heading8Char" w:customStyle="1">
    <w:name w:val="Heading 8 Char"/>
    <w:link w:val="Heading8"/>
    <w:rsid w:val="00D47DF9"/>
    <w:rPr>
      <w:i w:val="1"/>
      <w:iCs w:val="1"/>
      <w:sz w:val="24"/>
      <w:szCs w:val="24"/>
    </w:rPr>
  </w:style>
  <w:style w:type="character" w:styleId="Heading9Char" w:customStyle="1">
    <w:name w:val="Heading 9 Char"/>
    <w:link w:val="Heading9"/>
    <w:rsid w:val="00D47DF9"/>
    <w:rPr>
      <w:rFonts w:ascii="Arial" w:cs="Arial" w:hAnsi="Arial"/>
      <w:sz w:val="22"/>
      <w:szCs w:val="22"/>
    </w:rPr>
  </w:style>
  <w:style w:type="character" w:styleId="BodyTextIndentChar" w:customStyle="1">
    <w:name w:val="Body Text Indent Char"/>
    <w:link w:val="BodyTextIndent"/>
    <w:rsid w:val="00D47DF9"/>
    <w:rPr>
      <w:sz w:val="24"/>
      <w:szCs w:val="24"/>
    </w:rPr>
  </w:style>
  <w:style w:type="character" w:styleId="BodyText2Char" w:customStyle="1">
    <w:name w:val="Body Text 2 Char"/>
    <w:link w:val="BodyText2"/>
    <w:rsid w:val="00D47DF9"/>
    <w:rPr>
      <w:b w:val="1"/>
      <w:bCs w:val="1"/>
      <w:sz w:val="28"/>
      <w:szCs w:val="28"/>
    </w:rPr>
  </w:style>
  <w:style w:type="character" w:styleId="BodyTextIndent2Char" w:customStyle="1">
    <w:name w:val="Body Text Indent 2 Char"/>
    <w:link w:val="BodyTextIndent2"/>
    <w:rsid w:val="00D47DF9"/>
    <w:rPr>
      <w:szCs w:val="24"/>
    </w:rPr>
  </w:style>
  <w:style w:type="character" w:styleId="BodyText3Char" w:customStyle="1">
    <w:name w:val="Body Text 3 Char"/>
    <w:link w:val="BodyText3"/>
    <w:rsid w:val="00D47DF9"/>
    <w:rPr>
      <w:lang w:bidi="ar-EG"/>
    </w:rPr>
  </w:style>
  <w:style w:type="character" w:styleId="DocumentMapChar" w:customStyle="1">
    <w:name w:val="Document Map Char"/>
    <w:link w:val="DocumentMap"/>
    <w:rsid w:val="00D47DF9"/>
    <w:rPr>
      <w:rFonts w:ascii="Tahoma" w:cs="Tahoma" w:hAnsi="Tahoma"/>
      <w:shd w:color="auto" w:fill="000080" w:val="clear"/>
    </w:rPr>
  </w:style>
  <w:style w:type="character" w:styleId="apple-converted-space" w:customStyle="1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F5F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F5FB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F5FBB"/>
    <w:rPr>
      <w:b w:val="1"/>
      <w:bCs w:val="1"/>
    </w:rPr>
  </w:style>
  <w:style w:type="table" w:styleId="GridTable5Dark-Accent11" w:customStyle="1">
    <w:name w:val="Grid Table 5 Dark - Accent 11"/>
    <w:basedOn w:val="TableNormal"/>
    <w:uiPriority w:val="50"/>
    <w:rsid w:val="00312DD9"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NoSpacing">
    <w:name w:val="No Spacing"/>
    <w:uiPriority w:val="1"/>
    <w:qFormat w:val="1"/>
    <w:rsid w:val="00EF018C"/>
    <w:rPr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98321D"/>
    <w:pPr>
      <w:spacing w:after="100" w:afterAutospacing="1" w:before="100" w:beforeAutospacing="1"/>
    </w:pPr>
    <w:rPr>
      <w:lang w:eastAsia="en-GB" w:val="en-GB"/>
    </w:r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l+683a6pNSkC5bX4dhdgxUD6A==">AMUW2mXcQtyQ3/6E+QaiLc2nct0ERX3N276yqkmGyf85SVZ0V9SoYxrbbmEVoWDPYx6v0Ne/eQCvsTOZcPbI9q4NGfh/sYrjW0n0Jt8vPBhbfiEpEJqvbOYTZAjitYF8VvBNvLIPX/+PRFz/7K+xFMKENSnmWBDbvI8QKbGfbytghS8yP7NiZAocRpz4++xOwJDX7RtQHq0OX56coepMSEFCsfwf44hJxo3hDcuggpGBEFDc3L62SIUZiNoEDnI77KxC4cqhXetc1B0uyCqLZj3k3FwOzYq06fzeqlWNvuIWd6fPzP8jFCiSTfLfW2CGrY+qbbGB3j8Av4ZeUtwmyPPCJIURHjA5dC0s/MXxVswc1ip8ZuKV+DEcKj37KAr6HnFdeUoFlP8Ft65fGJQuudPH34VPnBKXUnqv6zFbsYreiu2qPGeP+SThpvphrUAKRf4NkgIB0lu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2021-10-22T16:03:00Z</dcterms:created>
  <dc:creator>Ian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