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-547368</wp:posOffset>
            </wp:positionH>
            <wp:positionV relativeFrom="paragraph">
              <wp:posOffset>-72388</wp:posOffset>
            </wp:positionV>
            <wp:extent cx="7127875" cy="10079990"/>
            <wp:effectExtent b="0" l="0" r="0" t="0"/>
            <wp:wrapNone/>
            <wp:docPr id="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27875" cy="100799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5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bidi w:val="1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bidi w:val="1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342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82"/>
        <w:gridCol w:w="7605"/>
        <w:gridCol w:w="255"/>
        <w:tblGridChange w:id="0">
          <w:tblGrid>
            <w:gridCol w:w="1482"/>
            <w:gridCol w:w="7605"/>
            <w:gridCol w:w="255"/>
          </w:tblGrid>
        </w:tblGridChange>
      </w:tblGrid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القانون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الجنائي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رمز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0"/>
                <w:szCs w:val="30"/>
                <w:rtl w:val="0"/>
              </w:rPr>
              <w:t xml:space="preserve">Law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340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بكالوريوس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القانون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العلمي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القانون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الكلية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القانون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المؤسسة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جامعة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الأمير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سلطان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32"/>
          <w:szCs w:val="32"/>
          <w:u w:val="none"/>
          <w:shd w:fill="auto" w:val="clear"/>
          <w:vertAlign w:val="baseline"/>
          <w:rtl w:val="1"/>
        </w:rPr>
        <w:t xml:space="preserve">المحتويات</w:t>
      </w: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التعريف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بالمقرر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fob9te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</w:t>
            </w:r>
          </w:hyperlink>
          <w:hyperlink w:anchor="_heading=h.1fob9te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</w:hyperlink>
          <w:hyperlink w:anchor="_heading=h.1fob9te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</w:hyperlink>
          <w:hyperlink w:anchor="_heading=h.1fob9te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fob9te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1fob9te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fob9te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ومخرجاته</w:t>
            </w:r>
          </w:hyperlink>
          <w:hyperlink w:anchor="_heading=h.1fob9te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fob9te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</w:hyperlink>
          <w:hyperlink w:anchor="_heading=h.1fob9te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hyperlink>
          <w:hyperlink w:anchor="_heading=h.1fob9te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10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tl w:val="0"/>
              </w:rPr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الوصف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10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tl w:val="0"/>
              </w:rPr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الهدف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الرئيس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10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tl w:val="0"/>
              </w:rPr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3.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مخرجات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موضوعات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والتقييم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10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tl w:val="0"/>
              </w:rPr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ربط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مخرجات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كل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استراتيجيات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وطرق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التقييم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10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tl w:val="0"/>
              </w:rPr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أنشطة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تقييم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هـ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-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أنشطة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الإرشاد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الأكاديمي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والدعم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الطلابي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مصادر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والمرافق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10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5nkun2">
            <w:r w:rsidDel="00000000" w:rsidR="00000000" w:rsidRPr="00000000">
              <w:rPr>
                <w:rtl w:val="0"/>
              </w:rPr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قائمة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مصادر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10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44sinio">
            <w:r w:rsidDel="00000000" w:rsidR="00000000" w:rsidRPr="00000000">
              <w:rPr>
                <w:rtl w:val="0"/>
              </w:rPr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المرافق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والتجهيزات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المطلوبة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ز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تقويم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جودة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</w:t>
            </w:r>
          </w:hyperlink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اعتماد</w:t>
            </w:r>
          </w:hyperlink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التوصيف</w:t>
            </w:r>
          </w:hyperlink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التعريف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بالمقرر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</w:p>
    <w:tbl>
      <w:tblPr>
        <w:tblStyle w:val="Table2"/>
        <w:bidiVisual w:val="1"/>
        <w:tblW w:w="9355.0" w:type="dxa"/>
        <w:jc w:val="center"/>
        <w:tblBorders>
          <w:top w:color="000000" w:space="0" w:sz="12" w:val="single"/>
          <w:left w:color="000000" w:space="0" w:sz="12" w:val="single"/>
          <w:bottom w:color="000000" w:space="0" w:sz="8" w:val="single"/>
          <w:insideH w:color="000000" w:space="0" w:sz="8" w:val="single"/>
        </w:tblBorders>
        <w:tblLayout w:type="fixed"/>
        <w:tblLook w:val="0000"/>
      </w:tblPr>
      <w:tblGrid>
        <w:gridCol w:w="453"/>
        <w:gridCol w:w="687"/>
        <w:gridCol w:w="848"/>
        <w:gridCol w:w="48"/>
        <w:gridCol w:w="202"/>
        <w:gridCol w:w="169"/>
        <w:gridCol w:w="349"/>
        <w:gridCol w:w="496"/>
        <w:gridCol w:w="261"/>
        <w:gridCol w:w="671"/>
        <w:gridCol w:w="261"/>
        <w:gridCol w:w="193"/>
        <w:gridCol w:w="423"/>
        <w:gridCol w:w="349"/>
        <w:gridCol w:w="1937"/>
        <w:gridCol w:w="261"/>
        <w:gridCol w:w="1747"/>
        <w:tblGridChange w:id="0">
          <w:tblGrid>
            <w:gridCol w:w="453"/>
            <w:gridCol w:w="687"/>
            <w:gridCol w:w="848"/>
            <w:gridCol w:w="48"/>
            <w:gridCol w:w="202"/>
            <w:gridCol w:w="169"/>
            <w:gridCol w:w="349"/>
            <w:gridCol w:w="496"/>
            <w:gridCol w:w="261"/>
            <w:gridCol w:w="671"/>
            <w:gridCol w:w="261"/>
            <w:gridCol w:w="193"/>
            <w:gridCol w:w="423"/>
            <w:gridCol w:w="349"/>
            <w:gridCol w:w="1937"/>
            <w:gridCol w:w="261"/>
            <w:gridCol w:w="1747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الساعات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المعتمدة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12" w:val="single"/>
              <w:bottom w:color="000000" w:space="0" w:sz="8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ساعات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8" w:val="single"/>
              <w:left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نوع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متطلب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جامعة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متطلب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كلية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متطلب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قسم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أخرى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tcBorders>
              <w:left w:color="000000" w:space="0" w:sz="12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إجباري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اختياري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4" w:val="single"/>
              <w:bottom w:color="000000" w:space="0" w:sz="8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12"/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السنة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المستوى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الذي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يقدم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فيه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1"/>
              </w:rPr>
              <w:t xml:space="preserve">السنة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1"/>
              </w:rPr>
              <w:t xml:space="preserve">الثالثة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1"/>
              </w:rPr>
              <w:t xml:space="preserve">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1"/>
              </w:rPr>
              <w:t xml:space="preserve">الفصل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1"/>
              </w:rPr>
              <w:t xml:space="preserve">الأول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1"/>
              </w:rPr>
              <w:t xml:space="preserve"> </w:t>
            </w:r>
          </w:p>
        </w:tc>
        <w:tc>
          <w:tcPr>
            <w:gridSpan w:val="5"/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1" w:hRule="atLeast"/>
          <w:tblHeader w:val="0"/>
        </w:trPr>
        <w:tc>
          <w:tcPr>
            <w:gridSpan w:val="17"/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المتطلبات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السابقة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لهذا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Law 263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8" w:val="single"/>
              <w:left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المتطلبات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المتزامنة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وجدت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يوجد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نمط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اختر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ينطبق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571.0" w:type="dxa"/>
        <w:jc w:val="center"/>
        <w:tblBorders>
          <w:top w:color="000000" w:space="0" w:sz="12" w:val="single"/>
          <w:left w:color="000000" w:space="0" w:sz="12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749"/>
        <w:gridCol w:w="4014"/>
        <w:gridCol w:w="2404"/>
        <w:gridCol w:w="2404"/>
        <w:tblGridChange w:id="0">
          <w:tblGrid>
            <w:gridCol w:w="749"/>
            <w:gridCol w:w="4014"/>
            <w:gridCol w:w="2404"/>
            <w:gridCol w:w="24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نمط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الدراسة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النسبة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التقليدية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bidi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66.5 %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المدمج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bidi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33.5 %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الإلكتروني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أخرى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ساعات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الاتصال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مستوى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8" w:val="single"/>
          <w:right w:color="000000" w:space="0" w:sz="4" w:val="single"/>
          <w:insideH w:color="000000" w:space="0" w:sz="8" w:val="single"/>
          <w:insideV w:color="000000" w:space="0" w:sz="4" w:val="single"/>
        </w:tblBorders>
        <w:tblLayout w:type="fixed"/>
        <w:tblLook w:val="0000"/>
      </w:tblPr>
      <w:tblGrid>
        <w:gridCol w:w="823"/>
        <w:gridCol w:w="6378"/>
        <w:gridCol w:w="2370"/>
        <w:tblGridChange w:id="0">
          <w:tblGrid>
            <w:gridCol w:w="823"/>
            <w:gridCol w:w="6378"/>
            <w:gridCol w:w="237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النشاط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dashed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محاضرات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dash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معمل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إستوديو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dashed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--------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dash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دروس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إضافية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dashed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--------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dash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أخرى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تذكر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تكاليف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وعروض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dashed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الإجمالي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d9e2f3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هدف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المقرر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ومخرجاته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</w:p>
    <w:tbl>
      <w:tblPr>
        <w:tblStyle w:val="Table5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right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9571"/>
        <w:tblGridChange w:id="0">
          <w:tblGrid>
            <w:gridCol w:w="95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الوصف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FB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يمثل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مقرر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القانون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الجنائي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الجانب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الإجرائي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الشكلي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للقانون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الجنائي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الطبيعي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تكون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دراسة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لهذا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يكون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درس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بنجاح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القواعد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الموضوعية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لهذا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القانون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متمثلة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مقرري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القانون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الجنائي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والقانون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الجنائي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2.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يهدف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تزويد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بالمعارف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والمهارات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والقيم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اللازمة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لفهم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المبادئ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والأحكام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التفصيلية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للإجراءات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الجزائية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وتطبيقها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القضايا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المختلفة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ترتبط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بهذا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النظام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ذلك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يعني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دراسة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نظام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الإجراءات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الجزائية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وعلاقته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بالقوانين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الجزائية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والإجرائية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الأخرى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وبالنظام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الأساسي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للحكم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والجزاءات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الإجرائية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ودراسة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الدعوى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الجزائية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وأعمال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الاستدلال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والاختصاصات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الاستثنائية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لرجال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الضبط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الجنائي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ودراسة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مرحلة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التحقيقي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الابتدائي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ومرحلة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المحاكمة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والاعتراض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الأحكام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وتنفيذها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الهدف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الرئيس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يهدف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تنمية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قدرات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مجال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القواعد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الجنائية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الإجرائية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وفق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تقضي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الشريعة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وأنظمة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المملكة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العربية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الجزائية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إطار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مقارن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بما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يجري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عليه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النظم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الإجرائية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الوضعية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ثم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يتعين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إلمام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بالمراحل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التمهيدية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تسبق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الدعوى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الجنائية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تتسم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تلك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الدعوى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خصائص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عداها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دعاوى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قضائية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أخرى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يلي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ذلك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تعرف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مختلف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مراحل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الدعوى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الجنائية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بدء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لحظة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تحريكها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وانتهاء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بصدور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الحكم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الجنائي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وتنفيذه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keepNext w:val="1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مخرجات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التعلم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للمقرر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tbl>
      <w:tblPr>
        <w:tblStyle w:val="Table6"/>
        <w:bidiVisual w:val="1"/>
        <w:tblW w:w="9571.0" w:type="dxa"/>
        <w:jc w:val="left"/>
        <w:tblInd w:w="-14.000000000000028" w:type="dxa"/>
        <w:tblBorders>
          <w:top w:color="000000" w:space="0" w:sz="12" w:val="single"/>
          <w:left w:color="000000" w:space="0" w:sz="12" w:val="single"/>
          <w:bottom w:color="000000" w:space="0" w:sz="8" w:val="single"/>
          <w:right w:color="000000" w:space="0" w:sz="4" w:val="single"/>
          <w:insideH w:color="000000" w:space="0" w:sz="8" w:val="single"/>
          <w:insideV w:color="000000" w:space="0" w:sz="4" w:val="single"/>
        </w:tblBorders>
        <w:tblLayout w:type="fixed"/>
        <w:tblLook w:val="0000"/>
      </w:tblPr>
      <w:tblGrid>
        <w:gridCol w:w="660"/>
        <w:gridCol w:w="7284"/>
        <w:gridCol w:w="1627"/>
        <w:tblGridChange w:id="0">
          <w:tblGrid>
            <w:gridCol w:w="660"/>
            <w:gridCol w:w="7284"/>
            <w:gridCol w:w="1627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مخرجات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رمز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مخرج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المرتبط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للبرنامج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d9e2f3" w:val="clea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</w:tcBorders>
            <w:shd w:fill="d9e2f3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المعرفة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والفهم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dashed"/>
              <w:right w:color="000000" w:space="0" w:sz="12" w:val="single"/>
            </w:tcBorders>
            <w:shd w:fill="ededed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المبادئ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والقواعد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القانونية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الناحية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النظرية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والتطبيقية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المتعلقة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بالإجراءات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الجزائية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يعرف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أهم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الإجراءات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الجزائية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وكيفية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تطبيقها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.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1.4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d9e2f3" w:val="clea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</w:tcBorders>
            <w:shd w:fill="d9e2f3" w:val="clea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المهارات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dashed"/>
              <w:right w:color="000000" w:space="0" w:sz="12" w:val="single"/>
            </w:tcBorders>
            <w:shd w:fill="ededed" w:val="clea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تحديد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القضايا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القانونية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المتعلقة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بالإجراءات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الجزائية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وتطبيق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القواعد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لوصف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الأحداث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والتوصل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استنتاجات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قانونية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واقعية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مناسبة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3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تطبيق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التحليل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النقدي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تمثيل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الحالة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والبحوث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القانونية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المتعلقة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بالإجراءات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الجزائية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استخدام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التكنولوجيا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الحديثة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بشأن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القضايا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المتعلقة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بالإجراءات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الجزائية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شفويا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وكتابيا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2.4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d9e2f3" w:val="clea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</w:tcBorders>
            <w:shd w:fill="d9e2f3" w:val="clea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dashed"/>
              <w:right w:color="000000" w:space="0" w:sz="12" w:val="single"/>
            </w:tcBorders>
            <w:shd w:fill="ededed" w:val="clea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لمساهمة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والتعاون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المهام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والتكاليف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الفردية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والجماعية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الصفية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3.4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موضوعات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المقرر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9571.0" w:type="dxa"/>
        <w:jc w:val="center"/>
        <w:tblBorders>
          <w:top w:color="000000" w:space="0" w:sz="12" w:val="single"/>
          <w:left w:color="000000" w:space="0" w:sz="12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38"/>
        <w:gridCol w:w="7655"/>
        <w:gridCol w:w="1378"/>
        <w:tblGridChange w:id="0">
          <w:tblGrid>
            <w:gridCol w:w="538"/>
            <w:gridCol w:w="7655"/>
            <w:gridCol w:w="1378"/>
          </w:tblGrid>
        </w:tblGridChange>
      </w:tblGrid>
      <w:tr>
        <w:trPr>
          <w:cantSplit w:val="0"/>
          <w:trHeight w:val="46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قائمة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الموضوعات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ساعات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الاتصال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التعريف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بنظام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الإجراءات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الجزائية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والنظم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الإجرائية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المختلفة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الجزاءات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الإجرائية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المختلفة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الدعوى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الجزائية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وخصائصها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وأطرافها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وقيود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تحريكها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دعوى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الحق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القواعد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تحكم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مرحلة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جمع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المعلومات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المبادئ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الحاكمة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للتحقيق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الابتدائي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وإجراءاته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القواعد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تهيمن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المحاكمة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الجزائية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وإجراءاتها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ماهية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الحكم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الجزائي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وأركانه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وطرق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الاعتراض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عليه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وقواعد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تنفيذه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المجموع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1t3h5sf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التدريس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والتقييم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54">
      <w:pPr>
        <w:keepNext w:val="1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1.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ربط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مخرجات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التعلم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للمقرر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استراتيجيات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التدريس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وطرق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التقييم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tbl>
      <w:tblPr>
        <w:tblStyle w:val="Table8"/>
        <w:bidiVisual w:val="1"/>
        <w:tblW w:w="9990.0" w:type="dxa"/>
        <w:jc w:val="left"/>
        <w:tblInd w:w="-220.0" w:type="dxa"/>
        <w:tblBorders>
          <w:top w:color="000000" w:space="0" w:sz="12" w:val="single"/>
          <w:left w:color="000000" w:space="0" w:sz="12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10"/>
        <w:gridCol w:w="2563"/>
        <w:gridCol w:w="1667"/>
        <w:gridCol w:w="2487"/>
        <w:gridCol w:w="2463"/>
        <w:tblGridChange w:id="0">
          <w:tblGrid>
            <w:gridCol w:w="810"/>
            <w:gridCol w:w="2563"/>
            <w:gridCol w:w="1667"/>
            <w:gridCol w:w="2487"/>
            <w:gridCol w:w="2463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الرمز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مخرجات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استراتيجيات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طرق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1.0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المعرفة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والفهم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يعرف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ويشرح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المبادئ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والقواعد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القانونية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الناحية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النظرية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والتطبيقية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المتعلقة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بالإجراءات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الجزائية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الصفية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الحوار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والنقاش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تبادل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الأدوار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قراءة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أحد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المراجع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المهمة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والتعليق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عليها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عرض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العناصر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الرئيسة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للموضوع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قبل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البدء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بالشرح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تلخيص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المعلومات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العصف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الذهني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الاكتشاف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المعرفي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الذاتي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القراءة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الخارجية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التمارين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المنزلية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التحريري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تقييم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البحوث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الفردية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والجماعية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تقييم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القراءة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الخارجية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تقييم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التكاليف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المنزلية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تقييم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تلخيص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الموضوعات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وعرضها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</w:t>
            </w:r>
          </w:p>
        </w:tc>
        <w:tc>
          <w:tcPr>
            <w:gridSpan w:val="2"/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يعرف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أهم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الإجراءات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الجزائية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وكيفية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تطبيقها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</w:t>
            </w:r>
          </w:p>
        </w:tc>
        <w:tc>
          <w:tcPr>
            <w:gridSpan w:val="2"/>
            <w:tcBorders>
              <w:top w:color="000000" w:space="0" w:sz="4" w:val="dashed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1.4</w:t>
            </w:r>
          </w:p>
        </w:tc>
        <w:tc>
          <w:tcPr>
            <w:gridSpan w:val="2"/>
            <w:tcBorders>
              <w:top w:color="000000" w:space="0" w:sz="4" w:val="dashed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dashed"/>
            </w:tcBorders>
            <w:shd w:fill="d9e2f3" w:val="clear"/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المهارات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4" w:val="dashed"/>
              <w:bottom w:color="000000" w:space="0" w:sz="4" w:val="single"/>
              <w:right w:color="000000" w:space="0" w:sz="12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تحديد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القضايا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القانونية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المتعلقة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بالإجراءات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الجزائية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وتطبيق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القواعد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لوصف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الأحداث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والتوصل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استنتاجات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قانونية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واقعية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مناسبة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الحوار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والنقاش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القراءة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الخارجية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البحوث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الفردية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والجماعية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الواجبات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المنزلية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الصفية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القراءة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الناقدة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الزيارات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الميدانية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ضمن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فريق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البحوث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الجماعية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استخدام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موقع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الرقمية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قيام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بتقديم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المادة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العلمية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باستخدام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أجهزة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العرض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الشفوية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تقييم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التكاليف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والواجبات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المنزلية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تقييم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البحوث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الفردية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والجماعية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والمكتوبة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وكذلك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المقدمة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باستخدام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الوسائل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التقنية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الحديثة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مثل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Google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Meeting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التحريري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تقييم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المناقشات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الحوارية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</w:t>
            </w:r>
          </w:p>
        </w:tc>
        <w:tc>
          <w:tcPr>
            <w:gridSpan w:val="2"/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تطبيق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التحليل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النقدي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تمثيل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الحالة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والبحوث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القانونية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المتعلقة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بالإجراءات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الجزائية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2.3</w:t>
            </w:r>
          </w:p>
        </w:tc>
        <w:tc>
          <w:tcPr>
            <w:gridSpan w:val="2"/>
            <w:tcBorders>
              <w:top w:color="000000" w:space="0" w:sz="4" w:val="dashed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استخدام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التكنولوجيا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التحليل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القانوني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بشأن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الإجراءات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الجزائية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شفويا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وكتابيا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2.4</w:t>
            </w:r>
          </w:p>
        </w:tc>
        <w:tc>
          <w:tcPr>
            <w:gridSpan w:val="2"/>
            <w:tcBorders>
              <w:top w:color="000000" w:space="0" w:sz="4" w:val="dashed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3.0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المساهمة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والتعاون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المهام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والتكاليف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الفردية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والجماعية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الصفية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إشراك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الأنشطة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الجماعية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الواجبات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المنزلية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تكليف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بعض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المسائل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ودراستها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حالة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دراسية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تكوين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فريق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لإنجاز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بعض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المنزلية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مناظرات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علمية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جماعية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ملاحظة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أداء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بالنسبة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للأنشطة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الجماعية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مراقبة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مدى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التزام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بإنجاز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المطلوبة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منهم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الوقت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المحدد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تقويم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أداء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أثناء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عملهم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ضمن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المجموعة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3.2</w:t>
            </w:r>
          </w:p>
        </w:tc>
        <w:tc>
          <w:tcPr>
            <w:gridSpan w:val="2"/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3.3</w:t>
            </w:r>
          </w:p>
        </w:tc>
        <w:tc>
          <w:tcPr>
            <w:gridSpan w:val="2"/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3.4</w:t>
            </w:r>
          </w:p>
        </w:tc>
        <w:tc>
          <w:tcPr>
            <w:gridSpan w:val="2"/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A">
      <w:pPr>
        <w:keepNext w:val="1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s8eyo1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bidi w:val="1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17dp8vu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keepNext w:val="1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rdcrjn" w:id="11"/>
      <w:bookmarkEnd w:id="11"/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أنشطة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تقييم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الطلبة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tbl>
      <w:tblPr>
        <w:tblStyle w:val="Table9"/>
        <w:bidiVisual w:val="1"/>
        <w:tblW w:w="9571.0" w:type="dxa"/>
        <w:jc w:val="center"/>
        <w:tblBorders>
          <w:top w:color="000000" w:space="0" w:sz="12" w:val="single"/>
          <w:left w:color="000000" w:space="0" w:sz="12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21"/>
        <w:gridCol w:w="3659"/>
        <w:gridCol w:w="3510"/>
        <w:gridCol w:w="1981"/>
        <w:tblGridChange w:id="0">
          <w:tblGrid>
            <w:gridCol w:w="421"/>
            <w:gridCol w:w="3659"/>
            <w:gridCol w:w="3510"/>
            <w:gridCol w:w="198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أنشطة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توقيت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بالأسبوع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النسبة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إجمالي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درجة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الفصلي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6-7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الفصلي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تكليفات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وعروض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مستمر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طوال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النهائي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40%</w:t>
            </w:r>
          </w:p>
        </w:tc>
      </w:tr>
    </w:tbl>
    <w:p w:rsidR="00000000" w:rsidDel="00000000" w:rsidP="00000000" w:rsidRDefault="00000000" w:rsidRPr="00000000" w14:paraId="000001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أنشطة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التقييم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اختبار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تحريري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شفهي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تقديمي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مشروع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جماعي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ورقة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26in1rg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أنشطة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الإرشاد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الأكاديمي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والدعم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الطلابي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</w:p>
    <w:tbl>
      <w:tblPr>
        <w:tblStyle w:val="Table10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9571"/>
        <w:tblGridChange w:id="0">
          <w:tblGrid>
            <w:gridCol w:w="9571"/>
          </w:tblGrid>
        </w:tblGridChange>
      </w:tblGrid>
      <w:tr>
        <w:trPr>
          <w:cantSplit w:val="0"/>
          <w:trHeight w:val="1298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الساعات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بواقع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ثلاث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ساعات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يوميا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الإشراف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المباشر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لعضو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هيئة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التدريبات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مشاركة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عضو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هيئة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أسبوع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الإرشاد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الأكاديمي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بداية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فصل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دراسي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استخدام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البريد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الإلكتروني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التواصل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الأستاذ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وطلابه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lnxbz9" w:id="13"/>
      <w:bookmarkEnd w:id="13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مصادر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التعلم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والمرافق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1EC">
      <w:pPr>
        <w:keepNext w:val="1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5nkun2" w:id="14"/>
      <w:bookmarkEnd w:id="14"/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قائمة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مصادر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التعلم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tbl>
      <w:tblPr>
        <w:tblStyle w:val="Table11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4" w:val="dashed"/>
          <w:right w:color="000000" w:space="0" w:sz="8" w:val="single"/>
          <w:insideH w:color="000000" w:space="0" w:sz="4" w:val="dashed"/>
          <w:insideV w:color="000000" w:space="0" w:sz="8" w:val="single"/>
        </w:tblBorders>
        <w:tblLayout w:type="fixed"/>
        <w:tblLook w:val="0000"/>
      </w:tblPr>
      <w:tblGrid>
        <w:gridCol w:w="2603"/>
        <w:gridCol w:w="6968"/>
        <w:tblGridChange w:id="0">
          <w:tblGrid>
            <w:gridCol w:w="2603"/>
            <w:gridCol w:w="6968"/>
          </w:tblGrid>
        </w:tblGridChange>
      </w:tblGrid>
      <w:tr>
        <w:trPr>
          <w:cantSplit w:val="0"/>
          <w:trHeight w:val="73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المرجع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الرئيس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الوجيز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نظام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الإجراءات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الجزائية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السعودي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للدكتور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السيد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شريف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الطبعة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الثانية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مكتبة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العالم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العربي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1441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هـ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-2020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المراجع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المساندة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الوجيز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نظام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الإجراءات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الجزائية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السعودي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للدكتور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زكي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شناق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الطبعة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الثانية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حافظ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1436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هـ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- 2015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الإجراءات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الجنائية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المقارنة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والنظام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الإجرائي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المملكة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العربية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للدكتور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عوض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بلال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النهضة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العربية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1990.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أصول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التحقيق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الجنائي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وتطبيقاتها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المملكة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العربية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للدكتور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مدني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عبد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الرحمن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تاج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معهد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الإدارة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1، 1406.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قانون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الإجراءات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الجنائية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للدكتور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محمود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نجيب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حسني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3،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النهضة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العربية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1998.  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الوسيط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قانون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الإجراءات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الجنائية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للدكتور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فتحي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سرور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الفكر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العربي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1، 1990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المصادر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الإلكترونية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الموقع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الالكتروني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لهيئة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الخبراء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بمجلس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الوزراء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الموقع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الالكتروني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لمجلس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الشورى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الموقع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الالكتروني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لوزارة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العدل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الموقع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الالكتروني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للنيابة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مواقع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التواصل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الاجتماعي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الطابع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القانوني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أخرى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D">
      <w:pPr>
        <w:keepNext w:val="1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ksv4uv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keepNext w:val="1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44sinio" w:id="16"/>
      <w:bookmarkEnd w:id="16"/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المرافق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والتجهيزات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المطلوبة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tbl>
      <w:tblPr>
        <w:tblStyle w:val="Table12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8" w:val="single"/>
          <w:right w:color="000000" w:space="0" w:sz="4" w:val="single"/>
          <w:insideH w:color="000000" w:space="0" w:sz="8" w:val="single"/>
          <w:insideV w:color="000000" w:space="0" w:sz="4" w:val="single"/>
        </w:tblBorders>
        <w:tblLayout w:type="fixed"/>
        <w:tblLook w:val="0000"/>
      </w:tblPr>
      <w:tblGrid>
        <w:gridCol w:w="3840"/>
        <w:gridCol w:w="5731"/>
        <w:tblGridChange w:id="0">
          <w:tblGrid>
            <w:gridCol w:w="3840"/>
            <w:gridCol w:w="5731"/>
          </w:tblGrid>
        </w:tblGridChange>
      </w:tblGrid>
      <w:tr>
        <w:trPr>
          <w:cantSplit w:val="0"/>
          <w:trHeight w:val="43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العناصر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متطلبات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dash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المرافق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القاعات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المختبرات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قاعات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العرض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قاعات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المحاكاة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...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إلخ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dashed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المحاضرات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التجهيزات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التقنية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جهاز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عرض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السبورة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الذكية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البرمجيات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dashed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أجهزة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حاسوب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والشا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شات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الذكية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تجهيزات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أخرى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تبعا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لطبيعة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التخصص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9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2jxsxqh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تقويم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جودة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المقرر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</w:p>
    <w:tbl>
      <w:tblPr>
        <w:tblStyle w:val="Table13"/>
        <w:bidiVisual w:val="1"/>
        <w:tblW w:w="9571.000000000002" w:type="dxa"/>
        <w:jc w:val="left"/>
        <w:tblInd w:w="5.0" w:type="dxa"/>
        <w:tblBorders>
          <w:top w:color="000000" w:space="0" w:sz="12" w:val="single"/>
          <w:left w:color="000000" w:space="0" w:sz="12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156"/>
        <w:gridCol w:w="3268"/>
        <w:gridCol w:w="3147"/>
        <w:tblGridChange w:id="0">
          <w:tblGrid>
            <w:gridCol w:w="3156"/>
            <w:gridCol w:w="3268"/>
            <w:gridCol w:w="3147"/>
          </w:tblGrid>
        </w:tblGridChange>
      </w:tblGrid>
      <w:tr>
        <w:trPr>
          <w:cantSplit w:val="0"/>
          <w:trHeight w:val="45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مجالات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التقويم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z337ya" w:id="18"/>
            <w:bookmarkEnd w:id="18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المقيمون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طرق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جودة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استبانة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تقويم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فاعلية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تقييم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الزملاء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استبانة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التقويم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للمراجعة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مخرجات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استبانة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تقويم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أهداف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استبانة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تقويم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مصادر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أعضاء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هيئة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استبانة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تقويم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أعضاء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هيئة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جودة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استبانة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تقويم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فاعلية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تقييم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الزملاء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استبانة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التقويم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للمراجعة</w:t>
            </w:r>
          </w:p>
        </w:tc>
      </w:tr>
    </w:tbl>
    <w:p w:rsidR="00000000" w:rsidDel="00000000" w:rsidP="00000000" w:rsidRDefault="00000000" w:rsidRPr="00000000" w14:paraId="000002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j2qqm3" w:id="19"/>
      <w:bookmarkEnd w:id="19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0"/>
          <w:szCs w:val="20"/>
          <w:u w:val="none"/>
          <w:shd w:fill="auto" w:val="clear"/>
          <w:vertAlign w:val="baseline"/>
          <w:rtl w:val="1"/>
        </w:rPr>
        <w:t xml:space="preserve">مجالات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0"/>
          <w:szCs w:val="20"/>
          <w:u w:val="none"/>
          <w:shd w:fill="auto" w:val="clear"/>
          <w:vertAlign w:val="baseline"/>
          <w:rtl w:val="1"/>
        </w:rPr>
        <w:t xml:space="preserve">التقويم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فاعلية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التدريس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فاعلة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طرق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تقييم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الطلاب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مدى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تحصيل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مخرجات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للمقرر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مصادر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y810tw" w:id="20"/>
      <w:bookmarkEnd w:id="2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0"/>
          <w:szCs w:val="20"/>
          <w:u w:val="none"/>
          <w:shd w:fill="auto" w:val="clear"/>
          <w:vertAlign w:val="baseline"/>
          <w:rtl w:val="1"/>
        </w:rPr>
        <w:t xml:space="preserve">المقيمون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الطلبة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أعضاء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هيئة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التدريس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قيادات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النظير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تحديدها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0"/>
          <w:szCs w:val="20"/>
          <w:u w:val="none"/>
          <w:shd w:fill="auto" w:val="clear"/>
          <w:vertAlign w:val="baseline"/>
          <w:rtl w:val="1"/>
        </w:rPr>
        <w:t xml:space="preserve">طرق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0"/>
          <w:szCs w:val="20"/>
          <w:u w:val="none"/>
          <w:shd w:fill="auto" w:val="clear"/>
          <w:vertAlign w:val="baseline"/>
          <w:rtl w:val="1"/>
        </w:rPr>
        <w:t xml:space="preserve">التقييم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مباشر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مباشر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4i7ojhp" w:id="21"/>
      <w:bookmarkEnd w:id="2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اعتماد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التوصيف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tbl>
      <w:tblPr>
        <w:tblStyle w:val="Table14"/>
        <w:bidiVisual w:val="1"/>
        <w:tblW w:w="9355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4" w:val="dashed"/>
          <w:right w:color="000000" w:space="0" w:sz="8" w:val="single"/>
          <w:insideH w:color="000000" w:space="0" w:sz="4" w:val="dashed"/>
          <w:insideV w:color="000000" w:space="0" w:sz="8" w:val="single"/>
        </w:tblBorders>
        <w:tblLayout w:type="fixed"/>
        <w:tblLook w:val="0000"/>
      </w:tblPr>
      <w:tblGrid>
        <w:gridCol w:w="1797"/>
        <w:gridCol w:w="7558"/>
        <w:tblGridChange w:id="0">
          <w:tblGrid>
            <w:gridCol w:w="1797"/>
            <w:gridCol w:w="7558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جهة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الاعتماد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28">
            <w:pPr>
              <w:bidi w:val="1"/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لجنة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المناهج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الدراسية</w:t>
            </w:r>
          </w:p>
          <w:p w:rsidR="00000000" w:rsidDel="00000000" w:rsidP="00000000" w:rsidRDefault="00000000" w:rsidRPr="00000000" w14:paraId="00000229">
            <w:pPr>
              <w:bidi w:val="1"/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مجلس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القسم</w:t>
            </w:r>
          </w:p>
          <w:p w:rsidR="00000000" w:rsidDel="00000000" w:rsidP="00000000" w:rsidRDefault="00000000" w:rsidRPr="00000000" w14:paraId="0000022A">
            <w:pPr>
              <w:bidi w:val="1"/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مجلس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الكلية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الجلسة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2D">
            <w:pPr>
              <w:bidi w:val="1"/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الجلسة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الخامسة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لمجلس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الكلية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21/22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تاريخ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الجلسة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2F">
            <w:pPr>
              <w:bidi w:val="1"/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21/2/2022</w:t>
            </w:r>
          </w:p>
        </w:tc>
      </w:tr>
    </w:tbl>
    <w:p w:rsidR="00000000" w:rsidDel="00000000" w:rsidP="00000000" w:rsidRDefault="00000000" w:rsidRPr="00000000" w14:paraId="000002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07" w:orient="portrait"/>
      <w:pgMar w:bottom="1418" w:top="1134" w:left="1134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-720088</wp:posOffset>
          </wp:positionH>
          <wp:positionV relativeFrom="paragraph">
            <wp:posOffset>-371473</wp:posOffset>
          </wp:positionV>
          <wp:extent cx="7313295" cy="762000"/>
          <wp:effectExtent b="0" l="0" r="0" t="0"/>
          <wp:wrapNone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3295" cy="762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101600" distT="0" distL="0" distR="0" hidden="0" layoutInCell="1" locked="0" relativeHeight="0" simplePos="0">
              <wp:simplePos x="0" y="0"/>
              <wp:positionH relativeFrom="column">
                <wp:posOffset>5842000</wp:posOffset>
              </wp:positionH>
              <wp:positionV relativeFrom="paragraph">
                <wp:posOffset>-241299</wp:posOffset>
              </wp:positionV>
              <wp:extent cx="597535" cy="419100"/>
              <wp:effectExtent b="0" l="0" r="0" t="0"/>
              <wp:wrapSquare wrapText="bothSides" distB="101600" distT="0" distL="0" distR="0"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056758" y="3579975"/>
                        <a:ext cx="57848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DIN Next LT W23" w:cs="DIN Next LT W23" w:eastAsia="DIN Next LT W23" w:hAnsi="DIN Next LT W23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8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01600" distT="0" distL="0" distR="0" hidden="0" layoutInCell="1" locked="0" relativeHeight="0" simplePos="0">
              <wp:simplePos x="0" y="0"/>
              <wp:positionH relativeFrom="column">
                <wp:posOffset>5842000</wp:posOffset>
              </wp:positionH>
              <wp:positionV relativeFrom="paragraph">
                <wp:posOffset>-241299</wp:posOffset>
              </wp:positionV>
              <wp:extent cx="597535" cy="419100"/>
              <wp:effectExtent b="0" l="0" r="0" t="0"/>
              <wp:wrapSquare wrapText="bothSides" distB="101600" distT="0" distL="0" distR="0"/>
              <wp:docPr id="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7535" cy="419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Rule="auto"/>
        <w:jc w:val="righ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2jAMDZq3IN5of/mJpTl69fQ8pA==">AMUW2mUvDPczMC4X7Y2CzXoxrOs4vHR5bzhcFAFCwwtPMu2zeCnAuakOK+R4iMnho05+mSHw9xDB/xojiDIG/Um1nnwIenw4vGvZgCIIA0DQPqddKtl0vkdG2bX2HEtdmWuOBLmJMwHkYKnUGdt//CtXHgxl/6p+WwmaORySC1YI7yZRo06qJU2t48fvI+sYqGkoDTuAiyUD/RD/OolZn2R3HhaIk0SJ8osq2wP37PsNPVmZxNyr7Y/nNPKFzb53wWzi5GEb/b8XYgXaEp5jysWlsjGmV69/OYL93CM0uVUJntCKdWxIy3oO1QB4DGNTOuzk7ziEemS4r1OIdAtyUFpjZb5UCfCO3TEyJZn/7SJkMGlGUvUITjQZGVQtmC+//PguoxQVdNMJqRZ6U2Wf2bBv502w5wdg4l0wpqWHQkE9dZbBt3vky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