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8B5913">
      <w:pPr>
        <w:pStyle w:val="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777777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083FA457" w14:textId="77777777" w:rsidR="00860622" w:rsidRDefault="00860622" w:rsidP="008B5913">
          <w:pPr>
            <w:pStyle w:val="af1"/>
            <w:spacing w:before="0"/>
          </w:pPr>
          <w:r>
            <w:t>Table of Contents</w:t>
          </w:r>
        </w:p>
        <w:p w14:paraId="322BDAE5" w14:textId="38533BFA" w:rsidR="007A428A" w:rsidRDefault="008606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72359BE3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80B5374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5E401027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7615193A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1BD6D6A9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3DD39917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4534EEC7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4914DE68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17AB8CE7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33703592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5F2AABE1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36973E4B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4EB7728B" w:rsidR="007A428A" w:rsidRDefault="00FF0D9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44506AE7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1CF62A7B" w:rsidR="007A428A" w:rsidRDefault="00FF0D9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" w:name="_Toc95137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1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00672831" w14:textId="107D7E3A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2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8333D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0F91B5B2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8333D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09523FA6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2D3257E" w14:textId="1FAF60F6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A682F" w:rsidRPr="0019322E" w14:paraId="21FB0C73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AC2B05" w14:textId="2C5924B5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1B2F24" w:rsidRPr="0019322E" w14:paraId="12F9C895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196302" w14:textId="058349D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63F81C4A" w14:textId="0F964FE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62378C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4307F8C8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90C3FD" w14:textId="4836A8C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B7BCE" w14:textId="27110F38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895ED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C27253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DFDD9C" w14:textId="5B56298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5720D" w14:textId="683E3DF9" w:rsidR="001B2F24" w:rsidRPr="00443180" w:rsidRDefault="001B2F24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354865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AE9D5F0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CB25EB" w14:textId="32C9659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A5CC0" w14:textId="4370775A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44E3F3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89A2B7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C15CE2" w14:textId="4A397A52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50153E51" w14:textId="1F153829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0478C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5D82" w:rsidRPr="0019322E" w14:paraId="7EC449C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4F206" w14:textId="77777777" w:rsidR="00045D82" w:rsidRPr="005D2DDD" w:rsidRDefault="00045D82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AB5A8AB" w14:textId="29DCFB4A" w:rsidR="00045D82" w:rsidRPr="008A5F1E" w:rsidRDefault="00045D82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61495D1" w14:textId="77777777" w:rsidR="00045D82" w:rsidRPr="000274EF" w:rsidRDefault="00045D82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5749B93" w14:textId="6780E740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905445">
        <w:rPr>
          <w:rFonts w:asciiTheme="majorBidi" w:hAnsiTheme="majorBidi" w:cstheme="majorBidi"/>
          <w:sz w:val="20"/>
          <w:szCs w:val="20"/>
        </w:rPr>
        <w:t xml:space="preserve"> 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573471BE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294306EE" w14:textId="75D872E8" w:rsidR="00636783" w:rsidRPr="00E973FE" w:rsidRDefault="007952E6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3" w:name="_Toc523814307"/>
      <w:bookmarkStart w:id="4" w:name="_Toc95137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3"/>
      <w:bookmarkEnd w:id="4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6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6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7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7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6A74AB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0C46135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28D1DF09" w14:textId="7F267C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66C55441" w14:textId="0AF0C173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951378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B2E79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B2E79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9" w:name="_Toc951379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9"/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1F61F646" w14:textId="16B17CC1" w:rsidR="00AD1A5E" w:rsidRDefault="009D6BCB" w:rsidP="009C77F0">
      <w:pPr>
        <w:pStyle w:val="2"/>
        <w:jc w:val="lowKashida"/>
        <w:rPr>
          <w:rFonts w:asciiTheme="majorBidi" w:hAnsiTheme="majorBidi" w:cstheme="majorBidi"/>
          <w:sz w:val="26"/>
          <w:szCs w:val="26"/>
        </w:rPr>
      </w:pPr>
      <w:bookmarkStart w:id="10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1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44064B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6943C95" w14:textId="14EB68E9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82E6CC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DCE7BE" w14:textId="0B167BC5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DDD1A4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C074A4" w14:textId="56BFCB73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D889C2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29CDA4" w14:textId="5427B0A8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1" w:name="_Toc951381"/>
      <w:r>
        <w:rPr>
          <w:rFonts w:asciiTheme="majorBidi" w:hAnsiTheme="majorBidi" w:cstheme="majorBidi"/>
          <w:sz w:val="26"/>
          <w:szCs w:val="26"/>
        </w:rPr>
        <w:lastRenderedPageBreak/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1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9B5A8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EDD2584" w14:textId="44F50F0C" w:rsidR="00BC0F44" w:rsidRDefault="00BC0F44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Toc95138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2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8B591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3" w:name="_Toc951383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3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4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5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5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F2488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C87F43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6" w:name="_Toc523814308"/>
      <w:bookmarkStart w:id="17" w:name="_Toc951386"/>
      <w:bookmarkStart w:id="18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6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7"/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bookmarkEnd w:id="18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F24884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9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21326972"/>
    </w:p>
    <w:p w14:paraId="4519DBB4" w14:textId="03FA6301" w:rsidR="00A1573B" w:rsidRPr="00A1573B" w:rsidRDefault="006E2124" w:rsidP="00A1573B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1" w:name="_Toc532159378"/>
      <w:bookmarkStart w:id="22" w:name="_Toc951387"/>
      <w:bookmarkEnd w:id="20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1"/>
      <w:bookmarkEnd w:id="22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6FDB" w14:textId="77777777" w:rsidR="00FF0D97" w:rsidRDefault="00FF0D97">
      <w:r>
        <w:separator/>
      </w:r>
    </w:p>
  </w:endnote>
  <w:endnote w:type="continuationSeparator" w:id="0">
    <w:p w14:paraId="24752BE8" w14:textId="77777777" w:rsidR="00FF0D97" w:rsidRDefault="00FF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465FB7" w:rsidRDefault="00465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65FB7" w:rsidRDefault="00465F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5AEE" w14:textId="12C901AA" w:rsidR="00465FB7" w:rsidRDefault="00465F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459F08F8">
              <wp:simplePos x="0" y="0"/>
              <wp:positionH relativeFrom="column">
                <wp:posOffset>5963920</wp:posOffset>
              </wp:positionH>
              <wp:positionV relativeFrom="paragraph">
                <wp:posOffset>25169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465FB7" w:rsidRPr="0078250C" w:rsidRDefault="00465FB7" w:rsidP="0043569C">
                          <w:pPr>
                            <w:pStyle w:val="a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9.6pt;margin-top:2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" filled="f" stroked="f" strokeweight=".5pt">
              <v:textbox>
                <w:txbxContent>
                  <w:p w14:paraId="7357DDF0" w14:textId="77777777" w:rsidR="00465FB7" w:rsidRPr="0078250C" w:rsidRDefault="00465FB7" w:rsidP="0043569C">
                    <w:pPr>
                      <w:pStyle w:val="a3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63E87" w14:textId="77777777" w:rsidR="00FF0D97" w:rsidRDefault="00FF0D97">
      <w:r>
        <w:separator/>
      </w:r>
    </w:p>
  </w:footnote>
  <w:footnote w:type="continuationSeparator" w:id="0">
    <w:p w14:paraId="5AF54A95" w14:textId="77777777" w:rsidR="00FF0D97" w:rsidRDefault="00FF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0ED5" w14:textId="482ADAA5" w:rsidR="00465FB7" w:rsidRPr="001F16EB" w:rsidRDefault="00465FB7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890522B">
          <wp:simplePos x="0" y="0"/>
          <wp:positionH relativeFrom="column">
            <wp:posOffset>-367030</wp:posOffset>
          </wp:positionH>
          <wp:positionV relativeFrom="paragraph">
            <wp:posOffset>342900</wp:posOffset>
          </wp:positionV>
          <wp:extent cx="6710410" cy="971804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943" cy="9726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15CC851C" w:rsidR="00465FB7" w:rsidRPr="00A006BB" w:rsidRDefault="00465FB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64A5931D">
          <wp:simplePos x="0" y="0"/>
          <wp:positionH relativeFrom="margin">
            <wp:posOffset>-732790</wp:posOffset>
          </wp:positionH>
          <wp:positionV relativeFrom="paragraph">
            <wp:posOffset>-266700</wp:posOffset>
          </wp:positionV>
          <wp:extent cx="7125970" cy="104076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40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A8E8E-5039-479F-A6A7-A20933B59EFB}"/>
</file>

<file path=customXml/itemProps4.xml><?xml version="1.0" encoding="utf-8"?>
<ds:datastoreItem xmlns:ds="http://schemas.openxmlformats.org/officeDocument/2006/customXml" ds:itemID="{F61FEEA4-3E0B-4AE1-963E-D861C9BD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4668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Specifications</dc:title>
  <dc:creator>Ian Allen</dc:creator>
  <cp:lastModifiedBy>Dr Mohamed Gazer</cp:lastModifiedBy>
  <cp:revision>24</cp:revision>
  <cp:lastPrinted>2019-02-14T08:21:00Z</cp:lastPrinted>
  <dcterms:created xsi:type="dcterms:W3CDTF">2019-02-11T07:28:00Z</dcterms:created>
  <dcterms:modified xsi:type="dcterms:W3CDTF">2019-02-14T08:21:00Z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